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41082EA" w14:textId="3CCE1F8C" w:rsidR="00D00AE7" w:rsidRPr="007C1B33" w:rsidRDefault="00AA7466" w:rsidP="00AA7466">
      <w:pPr>
        <w:pStyle w:val="TdocHeader2"/>
        <w:jc w:val="left"/>
        <w:rPr>
          <w:rFonts w:eastAsia="Times New Roman" w:cs="Arial"/>
          <w:bCs/>
          <w:noProof/>
          <w:sz w:val="20"/>
          <w:szCs w:val="18"/>
          <w:lang w:val="en-US" w:eastAsia="zh-CN"/>
        </w:rPr>
      </w:pPr>
      <w:bookmarkStart w:id="0" w:name="OLE_LINK1"/>
      <w:bookmarkStart w:id="1" w:name="OLE_LINK2"/>
      <w:r>
        <w:rPr>
          <w:rFonts w:eastAsia="Times New Roman" w:cs="Arial"/>
          <w:bCs/>
          <w:noProof/>
          <w:sz w:val="20"/>
          <w:szCs w:val="18"/>
          <w:lang w:val="en-US" w:eastAsia="zh-CN"/>
        </w:rPr>
        <w:t xml:space="preserve">3GPP </w:t>
      </w:r>
      <w:r w:rsidR="00C8725C">
        <w:rPr>
          <w:rFonts w:eastAsia="Times New Roman" w:cs="Arial"/>
          <w:bCs/>
          <w:noProof/>
          <w:sz w:val="20"/>
          <w:szCs w:val="18"/>
          <w:lang w:val="en-US" w:eastAsia="zh-CN"/>
        </w:rPr>
        <w:t>TSG RAN WG1 Meeting #84</w:t>
      </w:r>
      <w:r w:rsidR="00B5100C">
        <w:rPr>
          <w:rFonts w:eastAsia="Times New Roman" w:cs="Arial"/>
          <w:bCs/>
          <w:noProof/>
          <w:sz w:val="20"/>
          <w:szCs w:val="18"/>
          <w:lang w:val="en-US" w:eastAsia="zh-CN"/>
        </w:rPr>
        <w:t xml:space="preserve"> </w:t>
      </w:r>
      <w:r w:rsidR="00263A3F">
        <w:rPr>
          <w:rFonts w:eastAsia="Times New Roman" w:cs="Arial"/>
          <w:bCs/>
          <w:noProof/>
          <w:sz w:val="20"/>
          <w:szCs w:val="18"/>
          <w:lang w:val="en-US" w:eastAsia="zh-CN"/>
        </w:rPr>
        <w:t>bis</w:t>
      </w:r>
      <w:r w:rsidR="00B5100C">
        <w:rPr>
          <w:rFonts w:eastAsia="Times New Roman" w:cs="Arial"/>
          <w:bCs/>
          <w:noProof/>
          <w:sz w:val="20"/>
          <w:szCs w:val="18"/>
          <w:lang w:val="en-US" w:eastAsia="zh-CN"/>
        </w:rPr>
        <w:t xml:space="preserve">                                              </w:t>
      </w:r>
      <w:r>
        <w:rPr>
          <w:rFonts w:eastAsia="Times New Roman" w:cs="Arial"/>
          <w:bCs/>
          <w:noProof/>
          <w:sz w:val="20"/>
          <w:szCs w:val="18"/>
          <w:lang w:val="en-US" w:eastAsia="zh-CN"/>
        </w:rPr>
        <w:t xml:space="preserve"> </w:t>
      </w:r>
      <w:r w:rsidR="009E7B23">
        <w:rPr>
          <w:rFonts w:eastAsia="Times New Roman" w:cs="Arial"/>
          <w:bCs/>
          <w:noProof/>
          <w:sz w:val="20"/>
          <w:szCs w:val="18"/>
          <w:lang w:val="en-US" w:eastAsia="zh-CN"/>
        </w:rPr>
        <w:tab/>
      </w:r>
      <w:bookmarkStart w:id="2" w:name="_GoBack"/>
      <w:r w:rsidR="00D00AE7">
        <w:rPr>
          <w:rFonts w:eastAsia="Times New Roman" w:cs="Arial"/>
          <w:bCs/>
          <w:noProof/>
          <w:sz w:val="20"/>
          <w:szCs w:val="18"/>
          <w:lang w:val="en-US" w:eastAsia="zh-CN"/>
        </w:rPr>
        <w:t>R1-</w:t>
      </w:r>
      <w:r w:rsidR="00785253">
        <w:rPr>
          <w:rFonts w:eastAsia="Times New Roman" w:cs="Arial"/>
          <w:bCs/>
          <w:noProof/>
          <w:sz w:val="20"/>
          <w:szCs w:val="18"/>
          <w:lang w:val="en-US" w:eastAsia="zh-CN"/>
        </w:rPr>
        <w:t>16</w:t>
      </w:r>
      <w:r w:rsidR="00785253">
        <w:rPr>
          <w:rFonts w:eastAsia="Times New Roman" w:cs="Arial"/>
          <w:bCs/>
          <w:noProof/>
          <w:sz w:val="20"/>
          <w:szCs w:val="18"/>
          <w:lang w:val="en-US" w:eastAsia="zh-CN"/>
        </w:rPr>
        <w:t>3320</w:t>
      </w:r>
      <w:bookmarkEnd w:id="2"/>
    </w:p>
    <w:p w14:paraId="53AF47EE" w14:textId="70C459C1" w:rsidR="00F85CDA" w:rsidRDefault="00263A3F" w:rsidP="00F85CDA">
      <w:pPr>
        <w:pStyle w:val="TdocHeader2"/>
        <w:rPr>
          <w:rFonts w:eastAsia="Times New Roman" w:cs="Arial"/>
          <w:bCs/>
          <w:noProof/>
          <w:sz w:val="20"/>
          <w:szCs w:val="18"/>
          <w:lang w:val="en-US" w:eastAsia="zh-CN"/>
        </w:rPr>
      </w:pPr>
      <w:r>
        <w:rPr>
          <w:rFonts w:eastAsia="Times New Roman" w:cs="Arial"/>
          <w:bCs/>
          <w:noProof/>
          <w:sz w:val="20"/>
          <w:szCs w:val="18"/>
          <w:lang w:val="en-US" w:eastAsia="zh-CN"/>
        </w:rPr>
        <w:t>Busan</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11</w:t>
      </w:r>
      <w:r>
        <w:rPr>
          <w:rFonts w:eastAsia="Times New Roman" w:cs="Arial"/>
          <w:bCs/>
          <w:noProof/>
          <w:sz w:val="20"/>
          <w:szCs w:val="18"/>
          <w:vertAlign w:val="superscript"/>
          <w:lang w:val="en-US" w:eastAsia="zh-CN"/>
        </w:rPr>
        <w:t>th</w:t>
      </w:r>
      <w:r w:rsidR="00F85CDA">
        <w:rPr>
          <w:rFonts w:eastAsia="Times New Roman" w:cs="Arial"/>
          <w:bCs/>
          <w:noProof/>
          <w:sz w:val="20"/>
          <w:szCs w:val="18"/>
          <w:lang w:val="en-US" w:eastAsia="zh-CN"/>
        </w:rPr>
        <w:t xml:space="preserve"> </w:t>
      </w:r>
      <w:r>
        <w:rPr>
          <w:rFonts w:eastAsia="Times New Roman" w:cs="Arial"/>
          <w:bCs/>
          <w:noProof/>
          <w:sz w:val="20"/>
          <w:szCs w:val="18"/>
          <w:lang w:val="en-US" w:eastAsia="zh-CN"/>
        </w:rPr>
        <w:t>–</w:t>
      </w:r>
      <w:r w:rsidR="00F85CDA" w:rsidRPr="00395CD7">
        <w:rPr>
          <w:rFonts w:eastAsia="Times New Roman" w:cs="Arial"/>
          <w:bCs/>
          <w:noProof/>
          <w:sz w:val="20"/>
          <w:szCs w:val="18"/>
          <w:lang w:val="en-US" w:eastAsia="zh-CN"/>
        </w:rPr>
        <w:t xml:space="preserve"> </w:t>
      </w:r>
      <w:r>
        <w:rPr>
          <w:rFonts w:eastAsia="Times New Roman" w:cs="Arial"/>
          <w:bCs/>
          <w:noProof/>
          <w:sz w:val="20"/>
          <w:szCs w:val="18"/>
          <w:lang w:val="en-US" w:eastAsia="zh-CN"/>
        </w:rPr>
        <w:t>15</w:t>
      </w:r>
      <w:r>
        <w:rPr>
          <w:rFonts w:eastAsia="Times New Roman" w:cs="Arial"/>
          <w:bCs/>
          <w:noProof/>
          <w:sz w:val="20"/>
          <w:szCs w:val="18"/>
          <w:vertAlign w:val="superscript"/>
          <w:lang w:val="en-US" w:eastAsia="zh-CN"/>
        </w:rPr>
        <w:t>th</w:t>
      </w:r>
      <w:r>
        <w:rPr>
          <w:rFonts w:eastAsia="Times New Roman" w:cs="Arial"/>
          <w:bCs/>
          <w:noProof/>
          <w:sz w:val="20"/>
          <w:szCs w:val="18"/>
          <w:lang w:val="en-US" w:eastAsia="zh-CN"/>
        </w:rPr>
        <w:t xml:space="preserve"> April</w:t>
      </w:r>
      <w:r w:rsidR="00C8725C">
        <w:rPr>
          <w:rFonts w:eastAsia="Times New Roman" w:cs="Arial"/>
          <w:bCs/>
          <w:noProof/>
          <w:sz w:val="20"/>
          <w:szCs w:val="18"/>
          <w:lang w:val="en-US" w:eastAsia="zh-CN"/>
        </w:rPr>
        <w:t xml:space="preserve"> 2016</w:t>
      </w:r>
    </w:p>
    <w:p w14:paraId="4B29BD80" w14:textId="77777777" w:rsidR="00D00AE7" w:rsidRDefault="00D00AE7" w:rsidP="00D00AE7">
      <w:pPr>
        <w:pStyle w:val="TdocHeader2"/>
        <w:rPr>
          <w:sz w:val="20"/>
          <w:lang w:val="en-US"/>
        </w:rPr>
      </w:pPr>
    </w:p>
    <w:p w14:paraId="1B57A235" w14:textId="77777777" w:rsidR="00D00AE7" w:rsidRPr="008979AC" w:rsidRDefault="00D00AE7" w:rsidP="00D00AE7">
      <w:pPr>
        <w:pStyle w:val="TdocHeader2"/>
        <w:rPr>
          <w:sz w:val="20"/>
          <w:lang w:val="en-US"/>
        </w:rPr>
      </w:pPr>
      <w:r w:rsidRPr="008979AC">
        <w:rPr>
          <w:sz w:val="20"/>
          <w:lang w:val="en-US"/>
        </w:rPr>
        <w:t xml:space="preserve">Source: </w:t>
      </w:r>
      <w:r w:rsidRPr="008979AC">
        <w:rPr>
          <w:sz w:val="20"/>
          <w:lang w:val="en-US"/>
        </w:rPr>
        <w:tab/>
        <w:t>Ericsson</w:t>
      </w:r>
    </w:p>
    <w:p w14:paraId="0BF68268" w14:textId="55AB8228" w:rsidR="00D00AE7" w:rsidRPr="0027658D" w:rsidRDefault="00D00AE7" w:rsidP="00D00AE7">
      <w:pPr>
        <w:pStyle w:val="TdocHeader2"/>
        <w:rPr>
          <w:sz w:val="20"/>
          <w:lang w:val="en-US"/>
        </w:rPr>
      </w:pPr>
      <w:r w:rsidRPr="008979AC">
        <w:rPr>
          <w:sz w:val="20"/>
          <w:lang w:val="en-US"/>
        </w:rPr>
        <w:t>Title:</w:t>
      </w:r>
      <w:bookmarkStart w:id="3" w:name="Title"/>
      <w:bookmarkEnd w:id="3"/>
      <w:r w:rsidRPr="008979AC">
        <w:rPr>
          <w:sz w:val="20"/>
          <w:lang w:val="en-US"/>
        </w:rPr>
        <w:tab/>
      </w:r>
      <w:r w:rsidR="007129F9" w:rsidRPr="007129F9">
        <w:rPr>
          <w:sz w:val="20"/>
          <w:lang w:val="en-US"/>
        </w:rPr>
        <w:t>Physical layer aspects for PUSCH for short TTI</w:t>
      </w:r>
    </w:p>
    <w:p w14:paraId="0AF57746" w14:textId="59A95A78" w:rsidR="00D00AE7" w:rsidRPr="002D72B0" w:rsidRDefault="00D00AE7" w:rsidP="00D00AE7">
      <w:pPr>
        <w:pStyle w:val="TdocHeader2"/>
        <w:rPr>
          <w:sz w:val="20"/>
          <w:lang w:val="en-US"/>
        </w:rPr>
      </w:pPr>
      <w:r w:rsidRPr="002D72B0">
        <w:rPr>
          <w:sz w:val="20"/>
          <w:lang w:val="en-US"/>
        </w:rPr>
        <w:t>Agenda Item:</w:t>
      </w:r>
      <w:r w:rsidRPr="002D72B0">
        <w:rPr>
          <w:sz w:val="20"/>
          <w:lang w:val="en-US"/>
        </w:rPr>
        <w:tab/>
      </w:r>
      <w:r w:rsidR="007129F9">
        <w:rPr>
          <w:sz w:val="20"/>
          <w:lang w:val="en-US"/>
        </w:rPr>
        <w:t>7.3.10</w:t>
      </w:r>
      <w:r w:rsidR="00142A99">
        <w:rPr>
          <w:sz w:val="20"/>
          <w:lang w:val="en-US"/>
        </w:rPr>
        <w:t>.2</w:t>
      </w:r>
    </w:p>
    <w:p w14:paraId="05ED6158" w14:textId="77777777" w:rsidR="00D00AE7" w:rsidRDefault="00D00AE7" w:rsidP="00D00AE7">
      <w:pPr>
        <w:pStyle w:val="TdocHeader2"/>
        <w:rPr>
          <w:sz w:val="20"/>
          <w:lang w:val="en-US"/>
        </w:rPr>
      </w:pPr>
      <w:r>
        <w:rPr>
          <w:sz w:val="20"/>
          <w:lang w:val="en-US"/>
        </w:rPr>
        <w:t>Document for:</w:t>
      </w:r>
      <w:r>
        <w:rPr>
          <w:sz w:val="20"/>
          <w:lang w:val="en-US"/>
        </w:rPr>
        <w:tab/>
        <w:t>Discussion and Decision</w:t>
      </w:r>
    </w:p>
    <w:p w14:paraId="71EA7CE9" w14:textId="77777777" w:rsidR="003E4C36" w:rsidRPr="0027658D" w:rsidRDefault="003E4C36" w:rsidP="00D00AE7">
      <w:pPr>
        <w:pStyle w:val="TdocHeader2"/>
        <w:rPr>
          <w:sz w:val="20"/>
          <w:lang w:val="en-US"/>
        </w:rPr>
      </w:pPr>
    </w:p>
    <w:p w14:paraId="7E7FB5C2" w14:textId="77777777" w:rsidR="00C27DD1" w:rsidRDefault="00C27DD1" w:rsidP="00C27DD1">
      <w:pPr>
        <w:pStyle w:val="Heading1"/>
        <w:numPr>
          <w:ilvl w:val="0"/>
          <w:numId w:val="43"/>
        </w:numPr>
        <w:textAlignment w:val="auto"/>
        <w:rPr>
          <w:lang w:val="en-US"/>
        </w:rPr>
      </w:pPr>
      <w:bookmarkStart w:id="4" w:name="_Ref298777854"/>
      <w:bookmarkEnd w:id="0"/>
      <w:bookmarkEnd w:id="1"/>
      <w:r>
        <w:rPr>
          <w:lang w:val="en-US"/>
        </w:rPr>
        <w:t>Introduction</w:t>
      </w:r>
      <w:bookmarkEnd w:id="4"/>
    </w:p>
    <w:p w14:paraId="046CDBB3" w14:textId="500FE672" w:rsidR="00C27DD1" w:rsidRDefault="00C27DD1" w:rsidP="00C27DD1">
      <w:pPr>
        <w:rPr>
          <w:lang w:val="en-US"/>
        </w:rPr>
      </w:pPr>
      <w:r>
        <w:t>In this contribution, we provide our views on the physical layer design for TTI shortening for uplink transmissions</w:t>
      </w:r>
      <w:r w:rsidR="007129F9">
        <w:t xml:space="preserve"> on PUSCH</w:t>
      </w:r>
      <w:r>
        <w:t xml:space="preserve">. We describe how to extend the design for PUSCH with a shortened TTI length. </w:t>
      </w:r>
    </w:p>
    <w:p w14:paraId="5F351E0B" w14:textId="77777777" w:rsidR="00C27DD1" w:rsidRDefault="00C27DD1" w:rsidP="00C27DD1">
      <w:pPr>
        <w:pStyle w:val="Heading1"/>
        <w:numPr>
          <w:ilvl w:val="0"/>
          <w:numId w:val="43"/>
        </w:numPr>
        <w:textAlignment w:val="auto"/>
      </w:pPr>
      <w:r>
        <w:t>Discussion</w:t>
      </w:r>
    </w:p>
    <w:p w14:paraId="72FCD3B1" w14:textId="77777777" w:rsidR="00C27DD1" w:rsidRDefault="00C27DD1" w:rsidP="00C27DD1">
      <w:r>
        <w:t xml:space="preserve">The uplink shared channel PUSCH for LTE is based on single carrier transmissions (SC-FDMA, Single Carrier Frequency Division Duplex) by using DFTS-OFDM (Discrete Fourier Transform Spread OFDM). Here, two SC-FDMA symbols of each sub-frame are dedicated to reference signals and the remaining 12 SC-FDMA symbols (for normal cyclic prefix) can be allocated to user data. The last SC-FDMA symbol of each sub-frame might be used for Sounding Reference Signals (SRS) such that PUSCH is only transmitted during 11 SC-FDMA symbols. Link level simulation results for </w:t>
      </w:r>
      <w:proofErr w:type="spellStart"/>
      <w:r>
        <w:t>sPUSCH</w:t>
      </w:r>
      <w:proofErr w:type="spellEnd"/>
      <w:r>
        <w:t xml:space="preserve"> are provided in </w:t>
      </w:r>
      <w:r>
        <w:fldChar w:fldCharType="begin"/>
      </w:r>
      <w:r>
        <w:instrText xml:space="preserve"> REF _Ref442166251 \r \h </w:instrText>
      </w:r>
      <w:r>
        <w:fldChar w:fldCharType="separate"/>
      </w:r>
      <w:r>
        <w:t>[1]</w:t>
      </w:r>
      <w:r>
        <w:fldChar w:fldCharType="end"/>
      </w:r>
      <w:r>
        <w:t>.</w:t>
      </w:r>
    </w:p>
    <w:p w14:paraId="6852263C" w14:textId="77777777" w:rsidR="00C27DD1" w:rsidRDefault="00C27DD1" w:rsidP="00C27DD1">
      <w:pPr>
        <w:pStyle w:val="Heading2"/>
        <w:numPr>
          <w:ilvl w:val="1"/>
          <w:numId w:val="43"/>
        </w:numPr>
        <w:textAlignment w:val="auto"/>
      </w:pPr>
      <w:r>
        <w:t>Uplink shared channel</w:t>
      </w:r>
    </w:p>
    <w:p w14:paraId="3291AC15" w14:textId="77777777" w:rsidR="00C27DD1" w:rsidRDefault="00C27DD1" w:rsidP="00C27DD1">
      <w:pPr>
        <w:pStyle w:val="Heading3"/>
        <w:numPr>
          <w:ilvl w:val="2"/>
          <w:numId w:val="43"/>
        </w:numPr>
        <w:textAlignment w:val="auto"/>
      </w:pPr>
      <w:r>
        <w:t>Uplink reference signal design</w:t>
      </w:r>
    </w:p>
    <w:p w14:paraId="198364C4" w14:textId="77777777" w:rsidR="00C27DD1" w:rsidRDefault="00C27DD1" w:rsidP="00C27DD1">
      <w:r>
        <w:t xml:space="preserve">An uplink shared channel PUSCH with shortened TTI should be based on one or a few data SC-FDMA symbols. These symbols for user data also require an additional symbol used for reference signal (RS) in the UL TTI. In principle, it is beneficial if the reference symbol can be sent early in the TTI allowing the </w:t>
      </w:r>
      <w:proofErr w:type="spellStart"/>
      <w:r>
        <w:t>eNB</w:t>
      </w:r>
      <w:proofErr w:type="spellEnd"/>
      <w:r>
        <w:t xml:space="preserve"> to start processing as soon as possible, however this may not always be practical.</w:t>
      </w:r>
    </w:p>
    <w:p w14:paraId="064B4CFC" w14:textId="0BE511FC" w:rsidR="00241459" w:rsidRDefault="00241459" w:rsidP="00241459">
      <w:pPr>
        <w:rPr>
          <w:b/>
          <w:bCs/>
        </w:rPr>
      </w:pPr>
      <w:r>
        <w:fldChar w:fldCharType="begin"/>
      </w:r>
      <w:r>
        <w:instrText xml:space="preserve"> REF _Ref447023872 \h </w:instrText>
      </w:r>
      <w:r>
        <w:fldChar w:fldCharType="separate"/>
      </w:r>
      <w:r>
        <w:t xml:space="preserve">Figure </w:t>
      </w:r>
      <w:r>
        <w:rPr>
          <w:noProof/>
        </w:rPr>
        <w:t>1</w:t>
      </w:r>
      <w:r>
        <w:fldChar w:fldCharType="end"/>
      </w:r>
      <w:r>
        <w:t xml:space="preserve"> shows an example of short TTI configuration in an uplink </w:t>
      </w:r>
      <w:proofErr w:type="spellStart"/>
      <w:r>
        <w:t>subframe</w:t>
      </w:r>
      <w:proofErr w:type="spellEnd"/>
      <w:r>
        <w:t>. In this example, each TTI has one symbol used for RS, which is sent before the data symbols.</w:t>
      </w:r>
    </w:p>
    <w:p w14:paraId="11D5023E" w14:textId="77777777" w:rsidR="00241459" w:rsidRDefault="00241459" w:rsidP="00241459"/>
    <w:p w14:paraId="33C3BBD2" w14:textId="77777777" w:rsidR="00241459" w:rsidRDefault="00241459" w:rsidP="00241459">
      <w:pPr>
        <w:jc w:val="center"/>
      </w:pPr>
      <w:r>
        <w:rPr>
          <w:noProof/>
          <w:lang w:val="en-US" w:eastAsia="en-US"/>
        </w:rPr>
        <w:drawing>
          <wp:inline distT="0" distB="0" distL="0" distR="0" wp14:anchorId="395F1D4C" wp14:editId="10F3CDF2">
            <wp:extent cx="2232660" cy="21793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32660" cy="2179320"/>
                    </a:xfrm>
                    <a:prstGeom prst="rect">
                      <a:avLst/>
                    </a:prstGeom>
                    <a:noFill/>
                    <a:ln>
                      <a:noFill/>
                    </a:ln>
                  </pic:spPr>
                </pic:pic>
              </a:graphicData>
            </a:graphic>
          </wp:inline>
        </w:drawing>
      </w:r>
    </w:p>
    <w:p w14:paraId="77094313" w14:textId="0A505C22" w:rsidR="00241459" w:rsidRDefault="00241459" w:rsidP="00241459">
      <w:pPr>
        <w:pStyle w:val="Caption"/>
        <w:rPr>
          <w:b w:val="0"/>
          <w:bCs w:val="0"/>
        </w:rPr>
      </w:pPr>
      <w:bookmarkStart w:id="5" w:name="_Ref447023872"/>
      <w:r>
        <w:t xml:space="preserve">Figure </w:t>
      </w:r>
      <w:r>
        <w:fldChar w:fldCharType="begin"/>
      </w:r>
      <w:r>
        <w:instrText xml:space="preserve"> SEQ Figure \* ARABIC </w:instrText>
      </w:r>
      <w:r>
        <w:fldChar w:fldCharType="separate"/>
      </w:r>
      <w:r>
        <w:rPr>
          <w:noProof/>
        </w:rPr>
        <w:t>1</w:t>
      </w:r>
      <w:r>
        <w:fldChar w:fldCharType="end"/>
      </w:r>
      <w:bookmarkEnd w:id="5"/>
      <w:r>
        <w:t xml:space="preserve"> PUSCH with a TTI of 3 or 1 SC-FDMA user data symbols with separate RS in each TTI.</w:t>
      </w:r>
    </w:p>
    <w:p w14:paraId="1EF70A1A" w14:textId="77777777" w:rsidR="00241459" w:rsidRDefault="00241459" w:rsidP="00C27DD1"/>
    <w:p w14:paraId="3A63AE30" w14:textId="424460E9" w:rsidR="00930C51" w:rsidRDefault="001E15F8" w:rsidP="00C27DD1">
      <w:r w:rsidRPr="003B19C7">
        <w:t>A</w:t>
      </w:r>
      <w:r w:rsidR="0063697A" w:rsidRPr="003B19C7">
        <w:t xml:space="preserve">s shown in our link level simulation results in </w:t>
      </w:r>
      <w:r w:rsidR="0063697A" w:rsidRPr="003B19C7">
        <w:fldChar w:fldCharType="begin"/>
      </w:r>
      <w:r w:rsidR="0063697A" w:rsidRPr="003B19C7">
        <w:instrText xml:space="preserve"> REF _Ref442166251 \r \h  \* MERGEFORMAT </w:instrText>
      </w:r>
      <w:r w:rsidR="0063697A" w:rsidRPr="003B19C7">
        <w:fldChar w:fldCharType="separate"/>
      </w:r>
      <w:r w:rsidR="0063697A" w:rsidRPr="003B19C7">
        <w:t>[1]</w:t>
      </w:r>
      <w:r w:rsidR="0063697A" w:rsidRPr="003B19C7">
        <w:fldChar w:fldCharType="end"/>
      </w:r>
      <w:r w:rsidR="0063697A" w:rsidRPr="003B19C7">
        <w:t>, always including an additional symbol for RS in each UL short TTI can result in a significant performance loss</w:t>
      </w:r>
      <w:r w:rsidR="004F105D" w:rsidRPr="003B19C7">
        <w:t xml:space="preserve"> in terms of BLER and throughput </w:t>
      </w:r>
      <w:r w:rsidR="0063697A" w:rsidRPr="003B19C7">
        <w:t>due to the RS overhead, especially for very short TTIs, e.g., 2-symbol short TTI.</w:t>
      </w:r>
      <w:r w:rsidR="0063697A" w:rsidRPr="0063697A">
        <w:t xml:space="preserve"> </w:t>
      </w:r>
    </w:p>
    <w:p w14:paraId="09ABEB3C" w14:textId="251020A7" w:rsidR="004F105D" w:rsidRDefault="004F105D" w:rsidP="004F105D">
      <w:r>
        <w:lastRenderedPageBreak/>
        <w:t>W</w:t>
      </w:r>
      <w:r w:rsidRPr="00C671DF">
        <w:t>hen the same UE is scheduled on consecutive short TTIs</w:t>
      </w:r>
      <w:r>
        <w:t xml:space="preserve">, an effective way </w:t>
      </w:r>
      <w:r w:rsidRPr="00C671DF">
        <w:t xml:space="preserve">to reduce the overhead of reference signals when using short TTIs with PUSCH is </w:t>
      </w:r>
      <w:r>
        <w:t xml:space="preserve">the </w:t>
      </w:r>
      <w:r w:rsidRPr="00C671DF">
        <w:t xml:space="preserve">dynamic </w:t>
      </w:r>
      <w:r>
        <w:t xml:space="preserve">insertion of </w:t>
      </w:r>
      <w:r w:rsidRPr="00C671DF">
        <w:t>DMRS</w:t>
      </w:r>
      <w:r>
        <w:t>. This means that</w:t>
      </w:r>
      <w:r w:rsidRPr="00C671DF">
        <w:t xml:space="preserve"> the DMRS is not transmitted in each TTI when the same UE is scheduled on consecutive short TTIs</w:t>
      </w:r>
      <w:r w:rsidR="006F5C36">
        <w:t xml:space="preserve">. </w:t>
      </w:r>
      <w:r>
        <w:t>In this case, a certain periodicity can be assumed for transmitting DMRS.</w:t>
      </w:r>
      <w:r w:rsidR="00B06547" w:rsidRPr="00B06547">
        <w:t xml:space="preserve"> </w:t>
      </w:r>
      <w:r w:rsidR="00AD2E78">
        <w:t>Reduction</w:t>
      </w:r>
      <w:r w:rsidR="00B06547">
        <w:t xml:space="preserve"> of the DMRS overhead can </w:t>
      </w:r>
      <w:r w:rsidR="00AD2E78">
        <w:t xml:space="preserve">also </w:t>
      </w:r>
      <w:r w:rsidR="00B06547">
        <w:t>be achieved for UEs scheduled in multiple shortened TTIs within a limited time window by not transmitting RS in every TTI.</w:t>
      </w:r>
    </w:p>
    <w:p w14:paraId="4A9D1620" w14:textId="07719FB7" w:rsidR="00785253" w:rsidRPr="00785253" w:rsidRDefault="00785253" w:rsidP="00785253">
      <w:pPr>
        <w:pStyle w:val="Proposal"/>
        <w:numPr>
          <w:ilvl w:val="0"/>
          <w:numId w:val="0"/>
        </w:numPr>
        <w:ind w:left="1304" w:hanging="1304"/>
        <w:textAlignment w:val="auto"/>
        <w:rPr>
          <w:bCs w:val="0"/>
        </w:rPr>
      </w:pPr>
      <w:bookmarkStart w:id="6" w:name="_Toc447025370"/>
      <w:bookmarkStart w:id="7" w:name="_Toc447025479"/>
      <w:bookmarkStart w:id="8" w:name="_Toc447025498"/>
      <w:r w:rsidRPr="00785253">
        <w:rPr>
          <w:bCs w:val="0"/>
        </w:rPr>
        <w:t>Proposal</w:t>
      </w:r>
    </w:p>
    <w:p w14:paraId="143CB9AB" w14:textId="6FDBCBA0" w:rsidR="006F5C36" w:rsidRPr="00785253" w:rsidRDefault="006F5C36" w:rsidP="00785253">
      <w:pPr>
        <w:pStyle w:val="Proposal"/>
        <w:numPr>
          <w:ilvl w:val="0"/>
          <w:numId w:val="52"/>
        </w:numPr>
        <w:textAlignment w:val="auto"/>
        <w:rPr>
          <w:b w:val="0"/>
          <w:bCs w:val="0"/>
          <w:i/>
        </w:rPr>
      </w:pPr>
      <w:r w:rsidRPr="00785253">
        <w:rPr>
          <w:b w:val="0"/>
          <w:bCs w:val="0"/>
          <w:i/>
        </w:rPr>
        <w:t>Study the impact of dynamic insertion of DMRS by link level simulations.</w:t>
      </w:r>
      <w:bookmarkEnd w:id="6"/>
      <w:bookmarkEnd w:id="7"/>
      <w:bookmarkEnd w:id="8"/>
    </w:p>
    <w:p w14:paraId="0157357F" w14:textId="558E2D2F" w:rsidR="004F105D" w:rsidRDefault="006F5C36" w:rsidP="00C27DD1">
      <w:r>
        <w:t xml:space="preserve">Link level simulation results with dynamic insertion of DMRS are provided in </w:t>
      </w:r>
      <w:r>
        <w:fldChar w:fldCharType="begin"/>
      </w:r>
      <w:r>
        <w:instrText xml:space="preserve"> REF _Ref442166251 \r \h </w:instrText>
      </w:r>
      <w:r>
        <w:fldChar w:fldCharType="separate"/>
      </w:r>
      <w:r>
        <w:t>[1]</w:t>
      </w:r>
      <w:r>
        <w:fldChar w:fldCharType="end"/>
      </w:r>
      <w:r>
        <w:t>.</w:t>
      </w:r>
    </w:p>
    <w:p w14:paraId="6168C138" w14:textId="182B3336" w:rsidR="00C27DD1" w:rsidRDefault="00B06547" w:rsidP="00B13138">
      <w:r>
        <w:t xml:space="preserve">In case different UEs are scheduled in consecutive short TTIs, the dynamic DMRS insertion cannot be used. Instead, to reduce the overhead of reference signals when using short TTIs with PUSCH, DMRS multiplexing can be considered </w:t>
      </w:r>
      <w:r w:rsidR="00C27DD1">
        <w:t xml:space="preserve">by sharing the same RS symbol between multiple UEs, while not sharing the data symbols. The </w:t>
      </w:r>
      <w:proofErr w:type="spellStart"/>
      <w:r w:rsidR="00C27DD1">
        <w:t>eNB</w:t>
      </w:r>
      <w:proofErr w:type="spellEnd"/>
      <w:r w:rsidR="00C27DD1">
        <w:t xml:space="preserve"> would then be able to separate the different UEs by assigning different cyclic shifts similar to UL MU-MIMO. </w:t>
      </w:r>
    </w:p>
    <w:p w14:paraId="510BBDC3" w14:textId="77777777" w:rsidR="00785253" w:rsidRPr="00785253" w:rsidRDefault="00785253" w:rsidP="00785253">
      <w:pPr>
        <w:pStyle w:val="Proposal"/>
        <w:numPr>
          <w:ilvl w:val="0"/>
          <w:numId w:val="0"/>
        </w:numPr>
        <w:ind w:left="1304" w:hanging="1304"/>
        <w:textAlignment w:val="auto"/>
        <w:rPr>
          <w:bCs w:val="0"/>
        </w:rPr>
      </w:pPr>
      <w:bookmarkStart w:id="9" w:name="_Toc441492189"/>
      <w:bookmarkStart w:id="10" w:name="_Toc441577677"/>
      <w:bookmarkStart w:id="11" w:name="_Toc441492417"/>
      <w:bookmarkStart w:id="12" w:name="_Toc441492398"/>
      <w:bookmarkStart w:id="13" w:name="_Toc441492383"/>
      <w:bookmarkStart w:id="14" w:name="_Toc437932896"/>
      <w:bookmarkStart w:id="15" w:name="_Toc436393022"/>
      <w:bookmarkStart w:id="16" w:name="_Toc347824246"/>
      <w:bookmarkStart w:id="17" w:name="_Toc347824073"/>
      <w:bookmarkStart w:id="18" w:name="_Toc347823621"/>
      <w:bookmarkStart w:id="19" w:name="_Toc226862296"/>
      <w:bookmarkStart w:id="20" w:name="_Ref190406817"/>
      <w:bookmarkStart w:id="21" w:name="_Toc442367829"/>
      <w:bookmarkStart w:id="22" w:name="_Toc442254584"/>
      <w:bookmarkStart w:id="23" w:name="_Toc442171550"/>
      <w:bookmarkStart w:id="24" w:name="_Toc442166333"/>
      <w:bookmarkStart w:id="25" w:name="_Toc447025371"/>
      <w:bookmarkStart w:id="26" w:name="_Toc447025480"/>
      <w:bookmarkStart w:id="27" w:name="_Toc447025499"/>
      <w:r w:rsidRPr="00785253">
        <w:rPr>
          <w:bCs w:val="0"/>
        </w:rPr>
        <w:t>Proposal</w:t>
      </w:r>
    </w:p>
    <w:p w14:paraId="0AC97782" w14:textId="4A7BBD7A" w:rsidR="00C27DD1" w:rsidRPr="00785253" w:rsidRDefault="00C27DD1" w:rsidP="00785253">
      <w:pPr>
        <w:pStyle w:val="ListParagraph"/>
        <w:numPr>
          <w:ilvl w:val="0"/>
          <w:numId w:val="52"/>
        </w:numPr>
        <w:rPr>
          <w:i/>
        </w:rPr>
      </w:pPr>
      <w:r w:rsidRPr="00785253">
        <w:rPr>
          <w:i/>
        </w:rPr>
        <w:t xml:space="preserve">Study </w:t>
      </w:r>
      <w:bookmarkEnd w:id="9"/>
      <w:r w:rsidRPr="00785253">
        <w:rPr>
          <w:i/>
        </w:rPr>
        <w:t>the impact of UEs sharing the same UL DMRS location</w:t>
      </w:r>
      <w:bookmarkEnd w:id="10"/>
      <w:bookmarkEnd w:id="11"/>
      <w:bookmarkEnd w:id="12"/>
      <w:bookmarkEnd w:id="13"/>
      <w:bookmarkEnd w:id="14"/>
      <w:bookmarkEnd w:id="15"/>
      <w:bookmarkEnd w:id="16"/>
      <w:bookmarkEnd w:id="17"/>
      <w:bookmarkEnd w:id="18"/>
      <w:bookmarkEnd w:id="19"/>
      <w:bookmarkEnd w:id="20"/>
      <w:r w:rsidRPr="00785253">
        <w:rPr>
          <w:i/>
        </w:rPr>
        <w:t xml:space="preserve"> by link level simulations.</w:t>
      </w:r>
      <w:bookmarkEnd w:id="21"/>
      <w:bookmarkEnd w:id="22"/>
      <w:bookmarkEnd w:id="23"/>
      <w:bookmarkEnd w:id="24"/>
      <w:bookmarkEnd w:id="25"/>
      <w:bookmarkEnd w:id="26"/>
      <w:bookmarkEnd w:id="27"/>
    </w:p>
    <w:p w14:paraId="3D483273" w14:textId="7643CA2F" w:rsidR="00C27DD1" w:rsidRDefault="00C27DD1" w:rsidP="00C27DD1">
      <w:r>
        <w:t xml:space="preserve">Link level simulation results with </w:t>
      </w:r>
      <w:r w:rsidR="00B13138">
        <w:t>DMRS multiplexing</w:t>
      </w:r>
      <w:r>
        <w:t xml:space="preserve"> are provided in </w:t>
      </w:r>
      <w:r>
        <w:fldChar w:fldCharType="begin"/>
      </w:r>
      <w:r>
        <w:instrText xml:space="preserve"> REF _Ref442166251 \r \h </w:instrText>
      </w:r>
      <w:r>
        <w:fldChar w:fldCharType="separate"/>
      </w:r>
      <w:r>
        <w:t>[1]</w:t>
      </w:r>
      <w:r>
        <w:fldChar w:fldCharType="end"/>
      </w:r>
      <w:r>
        <w:t xml:space="preserve">. </w:t>
      </w:r>
    </w:p>
    <w:p w14:paraId="15C4283E" w14:textId="1AA456BC" w:rsidR="00C27DD1" w:rsidRDefault="0019470F" w:rsidP="00C27DD1">
      <w:r>
        <w:fldChar w:fldCharType="begin"/>
      </w:r>
      <w:r>
        <w:instrText xml:space="preserve"> REF _Ref447024135 \h </w:instrText>
      </w:r>
      <w:r>
        <w:fldChar w:fldCharType="separate"/>
      </w:r>
      <w:r>
        <w:t xml:space="preserve">Figure </w:t>
      </w:r>
      <w:r>
        <w:rPr>
          <w:noProof/>
        </w:rPr>
        <w:t>2</w:t>
      </w:r>
      <w:r>
        <w:fldChar w:fldCharType="end"/>
      </w:r>
      <w:r w:rsidR="00241459">
        <w:t xml:space="preserve">  and </w:t>
      </w:r>
      <w:r>
        <w:fldChar w:fldCharType="begin"/>
      </w:r>
      <w:r>
        <w:instrText xml:space="preserve"> REF _Ref447024118 \h </w:instrText>
      </w:r>
      <w:r>
        <w:fldChar w:fldCharType="separate"/>
      </w:r>
      <w:r>
        <w:t xml:space="preserve">Figure </w:t>
      </w:r>
      <w:r>
        <w:rPr>
          <w:noProof/>
        </w:rPr>
        <w:t>3</w:t>
      </w:r>
      <w:r>
        <w:fldChar w:fldCharType="end"/>
      </w:r>
      <w:r>
        <w:t xml:space="preserve"> </w:t>
      </w:r>
      <w:r w:rsidR="00241459">
        <w:t xml:space="preserve">present two design options for DMRS multiplexing for different TTI lengths. </w:t>
      </w:r>
      <w:r w:rsidR="00C27DD1">
        <w:t xml:space="preserve">In </w:t>
      </w:r>
      <w:r>
        <w:fldChar w:fldCharType="begin"/>
      </w:r>
      <w:r>
        <w:instrText xml:space="preserve"> REF _Ref447024135 \h </w:instrText>
      </w:r>
      <w:r>
        <w:fldChar w:fldCharType="separate"/>
      </w:r>
      <w:r>
        <w:t xml:space="preserve">Figure </w:t>
      </w:r>
      <w:r>
        <w:rPr>
          <w:noProof/>
        </w:rPr>
        <w:t>2</w:t>
      </w:r>
      <w:r>
        <w:fldChar w:fldCharType="end"/>
      </w:r>
      <w:r>
        <w:t xml:space="preserve">, </w:t>
      </w:r>
      <w:r w:rsidR="00C27DD1">
        <w:t>an example is illustrated of a TTI length of 3 for data. Here two users share the same position for their UL DMRS. For multiplexing of more RS we expect the channel estimation to degrade due to interference between the different users.</w:t>
      </w:r>
    </w:p>
    <w:p w14:paraId="21488A6C" w14:textId="77777777" w:rsidR="00C27DD1" w:rsidRDefault="00C27DD1" w:rsidP="00241459">
      <w:pPr>
        <w:keepLines/>
        <w:tabs>
          <w:tab w:val="left" w:pos="2552"/>
          <w:tab w:val="left" w:pos="3856"/>
          <w:tab w:val="left" w:pos="5216"/>
          <w:tab w:val="left" w:pos="6464"/>
          <w:tab w:val="left" w:pos="7768"/>
          <w:tab w:val="left" w:pos="9072"/>
          <w:tab w:val="left" w:pos="9639"/>
        </w:tabs>
        <w:overflowPunct/>
        <w:autoSpaceDE/>
        <w:adjustRightInd/>
        <w:spacing w:before="240" w:after="0"/>
        <w:jc w:val="center"/>
        <w:rPr>
          <w:spacing w:val="2"/>
          <w:lang w:val="en-US" w:eastAsia="en-US"/>
        </w:rPr>
      </w:pPr>
      <w:r>
        <w:rPr>
          <w:spacing w:val="2"/>
          <w:lang w:val="en-US" w:eastAsia="en-US"/>
        </w:rPr>
        <w:object w:dxaOrig="8292" w:dyaOrig="2040" w14:anchorId="35008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101.9pt" o:ole="">
            <v:imagedata r:id="rId10" o:title=""/>
          </v:shape>
          <o:OLEObject Type="Embed" ProgID="Excel.Sheet.12" ShapeID="_x0000_i1025" DrawAspect="Content" ObjectID="_1521036638" r:id="rId11"/>
        </w:object>
      </w:r>
    </w:p>
    <w:p w14:paraId="76F3180A" w14:textId="2F370C75" w:rsidR="00C27DD1" w:rsidRDefault="00241459" w:rsidP="00241459">
      <w:pPr>
        <w:pStyle w:val="Caption"/>
        <w:rPr>
          <w:b w:val="0"/>
        </w:rPr>
      </w:pPr>
      <w:bookmarkStart w:id="28" w:name="_Ref447024135"/>
      <w:r>
        <w:t xml:space="preserve">Figure </w:t>
      </w:r>
      <w:r>
        <w:fldChar w:fldCharType="begin"/>
      </w:r>
      <w:r>
        <w:instrText xml:space="preserve"> SEQ Figure \* ARABIC </w:instrText>
      </w:r>
      <w:r>
        <w:fldChar w:fldCharType="separate"/>
      </w:r>
      <w:r>
        <w:rPr>
          <w:noProof/>
        </w:rPr>
        <w:t>2</w:t>
      </w:r>
      <w:r>
        <w:fldChar w:fldCharType="end"/>
      </w:r>
      <w:bookmarkEnd w:id="28"/>
      <w:r>
        <w:t xml:space="preserve"> </w:t>
      </w:r>
      <w:r w:rsidR="00C27DD1">
        <w:t>PUSCH with a TTI of 3 user data SC-FDMA symbols and multiplexing of RS from 2 UEs in the same SC-FDMA symbol.</w:t>
      </w:r>
    </w:p>
    <w:p w14:paraId="66EE2A6C" w14:textId="5724EF69" w:rsidR="00C27DD1" w:rsidRDefault="00C27DD1" w:rsidP="00C27DD1">
      <w:r>
        <w:t xml:space="preserve">In the second example in </w:t>
      </w:r>
      <w:r w:rsidR="0019470F">
        <w:fldChar w:fldCharType="begin"/>
      </w:r>
      <w:r w:rsidR="0019470F">
        <w:instrText xml:space="preserve"> REF _Ref447024118 \h </w:instrText>
      </w:r>
      <w:r w:rsidR="0019470F">
        <w:fldChar w:fldCharType="separate"/>
      </w:r>
      <w:r w:rsidR="0019470F">
        <w:t xml:space="preserve">Figure </w:t>
      </w:r>
      <w:r w:rsidR="0019470F">
        <w:rPr>
          <w:noProof/>
        </w:rPr>
        <w:t>3</w:t>
      </w:r>
      <w:r w:rsidR="0019470F">
        <w:fldChar w:fldCharType="end"/>
      </w:r>
      <w:r w:rsidR="0019470F">
        <w:t xml:space="preserve">, </w:t>
      </w:r>
      <w:r>
        <w:t>the UL DMRS positions have been moved, to allow for a 1 symbol data TTI. Here the RS overhead is increased. Also in this example 2 UEs are sharing each UL DMRS</w:t>
      </w:r>
      <w:r w:rsidR="00241459">
        <w:t xml:space="preserve"> position</w:t>
      </w:r>
      <w:r>
        <w:t>.</w:t>
      </w:r>
    </w:p>
    <w:p w14:paraId="59DE5590" w14:textId="77777777" w:rsidR="00C27DD1" w:rsidRDefault="00C27DD1" w:rsidP="00C27DD1">
      <w:pPr>
        <w:pStyle w:val="BodyText"/>
      </w:pPr>
    </w:p>
    <w:p w14:paraId="41855778" w14:textId="77777777" w:rsidR="00C27DD1" w:rsidRDefault="00C27DD1" w:rsidP="00241459">
      <w:pPr>
        <w:jc w:val="center"/>
      </w:pPr>
      <w:r>
        <w:object w:dxaOrig="8292" w:dyaOrig="2040" w14:anchorId="715E6D5D">
          <v:shape id="_x0000_i1026" type="#_x0000_t75" style="width:414.7pt;height:101.9pt" o:ole="">
            <v:imagedata r:id="rId12" o:title=""/>
          </v:shape>
          <o:OLEObject Type="Embed" ProgID="Excel.Sheet.12" ShapeID="_x0000_i1026" DrawAspect="Content" ObjectID="_1521036639" r:id="rId13"/>
        </w:object>
      </w:r>
    </w:p>
    <w:p w14:paraId="33796E7C" w14:textId="4B19E8DA" w:rsidR="00C27DD1" w:rsidRDefault="00241459" w:rsidP="00241459">
      <w:pPr>
        <w:pStyle w:val="Caption"/>
        <w:rPr>
          <w:b w:val="0"/>
          <w:bCs w:val="0"/>
        </w:rPr>
      </w:pPr>
      <w:bookmarkStart w:id="29" w:name="_Ref447024118"/>
      <w:r>
        <w:t xml:space="preserve">Figure </w:t>
      </w:r>
      <w:r>
        <w:fldChar w:fldCharType="begin"/>
      </w:r>
      <w:r>
        <w:instrText xml:space="preserve"> SEQ Figure \* ARABIC </w:instrText>
      </w:r>
      <w:r>
        <w:fldChar w:fldCharType="separate"/>
      </w:r>
      <w:r>
        <w:rPr>
          <w:noProof/>
        </w:rPr>
        <w:t>3</w:t>
      </w:r>
      <w:r>
        <w:fldChar w:fldCharType="end"/>
      </w:r>
      <w:bookmarkEnd w:id="29"/>
      <w:r>
        <w:t xml:space="preserve"> </w:t>
      </w:r>
      <w:r w:rsidR="00C27DD1">
        <w:t>PUSCH with a TTI of 1 SC-FDMA user data symbol and multiplexing of RS from 2 UEs in the same SC-FDMA symbol.</w:t>
      </w:r>
    </w:p>
    <w:p w14:paraId="6069616B" w14:textId="31B1299B" w:rsidR="00951773" w:rsidRDefault="007F4FCA" w:rsidP="00951773">
      <w:pPr>
        <w:pStyle w:val="Heading3"/>
        <w:numPr>
          <w:ilvl w:val="2"/>
          <w:numId w:val="43"/>
        </w:numPr>
        <w:textAlignment w:val="auto"/>
      </w:pPr>
      <w:r>
        <w:t>Uplink c</w:t>
      </w:r>
      <w:r w:rsidR="00951773">
        <w:t xml:space="preserve">ontrol information </w:t>
      </w:r>
      <w:r w:rsidR="005C136B">
        <w:t>design</w:t>
      </w:r>
    </w:p>
    <w:p w14:paraId="54EEAD1B" w14:textId="319CC577" w:rsidR="007129F9" w:rsidRDefault="007129F9" w:rsidP="00785253">
      <w:pPr>
        <w:pStyle w:val="TdocHeader2"/>
        <w:rPr>
          <w:rFonts w:eastAsia="Times New Roman"/>
          <w:b w:val="0"/>
          <w:sz w:val="20"/>
          <w:lang w:eastAsia="zh-CN"/>
        </w:rPr>
      </w:pPr>
      <w:r>
        <w:rPr>
          <w:rFonts w:eastAsia="Times New Roman"/>
          <w:b w:val="0"/>
          <w:sz w:val="20"/>
          <w:lang w:eastAsia="zh-CN"/>
        </w:rPr>
        <w:t xml:space="preserve">On PUSCH UCI can be mapped, i.e. periodic or aperiodic CSI and HARQ-ACK bits. When introducing </w:t>
      </w:r>
      <w:proofErr w:type="spellStart"/>
      <w:r>
        <w:rPr>
          <w:rFonts w:eastAsia="Times New Roman"/>
          <w:b w:val="0"/>
          <w:sz w:val="20"/>
          <w:lang w:eastAsia="zh-CN"/>
        </w:rPr>
        <w:t>sTTI</w:t>
      </w:r>
      <w:proofErr w:type="spellEnd"/>
      <w:r>
        <w:rPr>
          <w:rFonts w:eastAsia="Times New Roman"/>
          <w:b w:val="0"/>
          <w:sz w:val="20"/>
          <w:lang w:eastAsia="zh-CN"/>
        </w:rPr>
        <w:t xml:space="preserve"> this aspect needs to be considered. The first aspect to consider is what </w:t>
      </w:r>
      <w:r w:rsidR="00CA64A6">
        <w:rPr>
          <w:rFonts w:eastAsia="Times New Roman"/>
          <w:b w:val="0"/>
          <w:sz w:val="20"/>
          <w:lang w:eastAsia="zh-CN"/>
        </w:rPr>
        <w:t>the corresponding behaviour is</w:t>
      </w:r>
      <w:r>
        <w:rPr>
          <w:rFonts w:eastAsia="Times New Roman"/>
          <w:b w:val="0"/>
          <w:sz w:val="20"/>
          <w:lang w:eastAsia="zh-CN"/>
        </w:rPr>
        <w:t xml:space="preserve"> when HARQ-ACK on </w:t>
      </w:r>
      <w:proofErr w:type="spellStart"/>
      <w:r>
        <w:rPr>
          <w:rFonts w:eastAsia="Times New Roman"/>
          <w:b w:val="0"/>
          <w:sz w:val="20"/>
          <w:lang w:eastAsia="zh-CN"/>
        </w:rPr>
        <w:t>sPUCCH</w:t>
      </w:r>
      <w:proofErr w:type="spellEnd"/>
      <w:r>
        <w:rPr>
          <w:rFonts w:eastAsia="Times New Roman"/>
          <w:b w:val="0"/>
          <w:sz w:val="20"/>
          <w:lang w:eastAsia="zh-CN"/>
        </w:rPr>
        <w:t xml:space="preserve"> collides with </w:t>
      </w:r>
      <w:proofErr w:type="spellStart"/>
      <w:r>
        <w:rPr>
          <w:rFonts w:eastAsia="Times New Roman"/>
          <w:b w:val="0"/>
          <w:sz w:val="20"/>
          <w:lang w:eastAsia="zh-CN"/>
        </w:rPr>
        <w:t>sPUSCH</w:t>
      </w:r>
      <w:proofErr w:type="spellEnd"/>
      <w:r>
        <w:rPr>
          <w:rFonts w:eastAsia="Times New Roman"/>
          <w:b w:val="0"/>
          <w:sz w:val="20"/>
          <w:lang w:eastAsia="zh-CN"/>
        </w:rPr>
        <w:t xml:space="preserve"> transmission. </w:t>
      </w:r>
      <w:r w:rsidR="00CA64A6">
        <w:rPr>
          <w:rFonts w:eastAsia="Times New Roman"/>
          <w:b w:val="0"/>
          <w:sz w:val="20"/>
          <w:lang w:eastAsia="zh-CN"/>
        </w:rPr>
        <w:t xml:space="preserve">To understand this handling better one needs to have a clear picture of the processing times to generate the HARQ-ACK feedback for DL and the </w:t>
      </w:r>
      <w:proofErr w:type="spellStart"/>
      <w:r w:rsidR="00CA64A6">
        <w:rPr>
          <w:rFonts w:eastAsia="Times New Roman"/>
          <w:b w:val="0"/>
          <w:sz w:val="20"/>
          <w:lang w:eastAsia="zh-CN"/>
        </w:rPr>
        <w:t>sPUSCH</w:t>
      </w:r>
      <w:proofErr w:type="spellEnd"/>
      <w:r w:rsidR="00CA64A6">
        <w:rPr>
          <w:rFonts w:eastAsia="Times New Roman"/>
          <w:b w:val="0"/>
          <w:sz w:val="20"/>
          <w:lang w:eastAsia="zh-CN"/>
        </w:rPr>
        <w:t xml:space="preserve"> </w:t>
      </w:r>
      <w:r w:rsidR="00CA64A6">
        <w:rPr>
          <w:rFonts w:eastAsia="Times New Roman"/>
          <w:b w:val="0"/>
          <w:sz w:val="20"/>
          <w:lang w:eastAsia="zh-CN"/>
        </w:rPr>
        <w:lastRenderedPageBreak/>
        <w:t xml:space="preserve">transmission, i.e. whether or not the </w:t>
      </w:r>
      <w:proofErr w:type="spellStart"/>
      <w:r w:rsidR="00CA64A6">
        <w:rPr>
          <w:rFonts w:eastAsia="Times New Roman"/>
          <w:b w:val="0"/>
          <w:sz w:val="20"/>
          <w:lang w:eastAsia="zh-CN"/>
        </w:rPr>
        <w:t>eNB</w:t>
      </w:r>
      <w:proofErr w:type="spellEnd"/>
      <w:r w:rsidR="00CA64A6">
        <w:rPr>
          <w:rFonts w:eastAsia="Times New Roman"/>
          <w:b w:val="0"/>
          <w:sz w:val="20"/>
          <w:lang w:eastAsia="zh-CN"/>
        </w:rPr>
        <w:t xml:space="preserve"> can take into account the presents of HARQ-ACK when scheduling </w:t>
      </w:r>
      <w:proofErr w:type="spellStart"/>
      <w:r w:rsidR="00CA64A6">
        <w:rPr>
          <w:rFonts w:eastAsia="Times New Roman"/>
          <w:b w:val="0"/>
          <w:sz w:val="20"/>
          <w:lang w:eastAsia="zh-CN"/>
        </w:rPr>
        <w:t>sPUSCH</w:t>
      </w:r>
      <w:proofErr w:type="spellEnd"/>
      <w:r w:rsidR="00CA64A6">
        <w:rPr>
          <w:rFonts w:eastAsia="Times New Roman"/>
          <w:b w:val="0"/>
          <w:sz w:val="20"/>
          <w:lang w:eastAsia="zh-CN"/>
        </w:rPr>
        <w:t xml:space="preserve">. The ability to retrieve more frequent aperiodic CSI feedback could be of interest to be able to link adapt quicker similar aspect if an periodic report of CSI feedback collides with </w:t>
      </w:r>
      <w:proofErr w:type="spellStart"/>
      <w:r w:rsidR="00CA64A6">
        <w:rPr>
          <w:rFonts w:eastAsia="Times New Roman"/>
          <w:b w:val="0"/>
          <w:sz w:val="20"/>
          <w:lang w:eastAsia="zh-CN"/>
        </w:rPr>
        <w:t>sPUSCH</w:t>
      </w:r>
      <w:proofErr w:type="spellEnd"/>
      <w:r w:rsidR="00CA64A6">
        <w:rPr>
          <w:rFonts w:eastAsia="Times New Roman"/>
          <w:b w:val="0"/>
          <w:sz w:val="20"/>
          <w:lang w:eastAsia="zh-CN"/>
        </w:rPr>
        <w:t xml:space="preserve"> transmission.</w:t>
      </w:r>
    </w:p>
    <w:p w14:paraId="2D6AEEA9" w14:textId="77777777" w:rsidR="00CA64A6" w:rsidRDefault="00CA64A6" w:rsidP="00785253">
      <w:pPr>
        <w:pStyle w:val="TdocHeader2"/>
        <w:rPr>
          <w:rFonts w:eastAsia="Times New Roman"/>
          <w:b w:val="0"/>
          <w:sz w:val="20"/>
          <w:lang w:eastAsia="zh-CN"/>
        </w:rPr>
      </w:pPr>
    </w:p>
    <w:p w14:paraId="2FA03EFA" w14:textId="4C2DEA6C" w:rsidR="00CA64A6" w:rsidRPr="00785253" w:rsidRDefault="00CA64A6" w:rsidP="00785253">
      <w:pPr>
        <w:pStyle w:val="TdocHeader2"/>
        <w:rPr>
          <w:rFonts w:eastAsia="Times New Roman"/>
          <w:sz w:val="20"/>
          <w:lang w:eastAsia="zh-CN"/>
        </w:rPr>
      </w:pPr>
      <w:r w:rsidRPr="00785253">
        <w:rPr>
          <w:rFonts w:eastAsia="Times New Roman"/>
          <w:sz w:val="20"/>
          <w:lang w:eastAsia="zh-CN"/>
        </w:rPr>
        <w:t>Proposal</w:t>
      </w:r>
    </w:p>
    <w:p w14:paraId="7A528E66" w14:textId="538F81FC" w:rsidR="00CA64A6" w:rsidRDefault="00CA64A6" w:rsidP="00785253">
      <w:pPr>
        <w:pStyle w:val="TdocHeader2"/>
        <w:numPr>
          <w:ilvl w:val="0"/>
          <w:numId w:val="51"/>
        </w:numPr>
        <w:rPr>
          <w:rFonts w:eastAsia="Times New Roman"/>
          <w:b w:val="0"/>
          <w:sz w:val="20"/>
          <w:lang w:eastAsia="zh-CN"/>
        </w:rPr>
      </w:pPr>
      <w:r>
        <w:rPr>
          <w:rFonts w:eastAsia="Times New Roman"/>
          <w:b w:val="0"/>
          <w:sz w:val="20"/>
          <w:lang w:eastAsia="zh-CN"/>
        </w:rPr>
        <w:t xml:space="preserve">Study how to support multiplexing of aperiodic and periodic CSI reporting on </w:t>
      </w:r>
      <w:proofErr w:type="spellStart"/>
      <w:r>
        <w:rPr>
          <w:rFonts w:eastAsia="Times New Roman"/>
          <w:b w:val="0"/>
          <w:sz w:val="20"/>
          <w:lang w:eastAsia="zh-CN"/>
        </w:rPr>
        <w:t>sPUSCH</w:t>
      </w:r>
      <w:proofErr w:type="spellEnd"/>
    </w:p>
    <w:p w14:paraId="0EE63368" w14:textId="437A7A63" w:rsidR="00CA64A6" w:rsidRDefault="00CA64A6" w:rsidP="00785253">
      <w:pPr>
        <w:pStyle w:val="TdocHeader2"/>
        <w:numPr>
          <w:ilvl w:val="0"/>
          <w:numId w:val="51"/>
        </w:numPr>
        <w:rPr>
          <w:rFonts w:eastAsia="Times New Roman"/>
          <w:b w:val="0"/>
          <w:sz w:val="20"/>
          <w:lang w:eastAsia="zh-CN"/>
        </w:rPr>
      </w:pPr>
      <w:r>
        <w:rPr>
          <w:rFonts w:eastAsia="Times New Roman"/>
          <w:b w:val="0"/>
          <w:sz w:val="20"/>
          <w:lang w:eastAsia="zh-CN"/>
        </w:rPr>
        <w:t xml:space="preserve">After the processing times for </w:t>
      </w:r>
      <w:proofErr w:type="spellStart"/>
      <w:r>
        <w:rPr>
          <w:rFonts w:eastAsia="Times New Roman"/>
          <w:b w:val="0"/>
          <w:sz w:val="20"/>
          <w:lang w:eastAsia="zh-CN"/>
        </w:rPr>
        <w:t>sPDSCH</w:t>
      </w:r>
      <w:proofErr w:type="spellEnd"/>
      <w:r>
        <w:rPr>
          <w:rFonts w:eastAsia="Times New Roman"/>
          <w:b w:val="0"/>
          <w:sz w:val="20"/>
          <w:lang w:eastAsia="zh-CN"/>
        </w:rPr>
        <w:t xml:space="preserve"> and </w:t>
      </w:r>
      <w:proofErr w:type="spellStart"/>
      <w:r>
        <w:rPr>
          <w:rFonts w:eastAsia="Times New Roman"/>
          <w:b w:val="0"/>
          <w:sz w:val="20"/>
          <w:lang w:eastAsia="zh-CN"/>
        </w:rPr>
        <w:t>sPUSCH</w:t>
      </w:r>
      <w:proofErr w:type="spellEnd"/>
      <w:r>
        <w:rPr>
          <w:rFonts w:eastAsia="Times New Roman"/>
          <w:b w:val="0"/>
          <w:sz w:val="20"/>
          <w:lang w:eastAsia="zh-CN"/>
        </w:rPr>
        <w:t xml:space="preserve"> is known study how to multiplex HARQ-ACK on </w:t>
      </w:r>
      <w:proofErr w:type="spellStart"/>
      <w:r>
        <w:rPr>
          <w:rFonts w:eastAsia="Times New Roman"/>
          <w:b w:val="0"/>
          <w:sz w:val="20"/>
          <w:lang w:eastAsia="zh-CN"/>
        </w:rPr>
        <w:t>sPUSCH</w:t>
      </w:r>
      <w:proofErr w:type="spellEnd"/>
    </w:p>
    <w:p w14:paraId="0399641E" w14:textId="77777777" w:rsidR="00C27DD1" w:rsidRDefault="00C27DD1" w:rsidP="00C27DD1">
      <w:pPr>
        <w:pStyle w:val="Heading1"/>
        <w:numPr>
          <w:ilvl w:val="0"/>
          <w:numId w:val="43"/>
        </w:numPr>
        <w:textAlignment w:val="auto"/>
        <w:rPr>
          <w:lang w:val="en-US"/>
        </w:rPr>
      </w:pPr>
      <w:r>
        <w:rPr>
          <w:lang w:val="en-US"/>
        </w:rPr>
        <w:t>Conclusion</w:t>
      </w:r>
    </w:p>
    <w:p w14:paraId="2EA28C5F" w14:textId="24993F84" w:rsidR="00C27DD1" w:rsidRDefault="00C27DD1" w:rsidP="00785253">
      <w:pPr>
        <w:pStyle w:val="TOC1"/>
        <w:tabs>
          <w:tab w:val="clear" w:pos="1701"/>
          <w:tab w:val="left" w:pos="-1980"/>
        </w:tabs>
        <w:ind w:left="0" w:firstLine="0"/>
      </w:pPr>
      <w:r>
        <w:rPr>
          <w:b w:val="0"/>
        </w:rPr>
        <w:t>In this</w:t>
      </w:r>
      <w:r>
        <w:t xml:space="preserve"> </w:t>
      </w:r>
      <w:r>
        <w:rPr>
          <w:b w:val="0"/>
        </w:rPr>
        <w:t>contribution we discussed our views on the physical layer design for short TTIs in uplinktransmissions</w:t>
      </w:r>
      <w:r>
        <w:rPr>
          <w:b w:val="0"/>
          <w:iCs/>
        </w:rPr>
        <w:t>.</w:t>
      </w:r>
      <w:r w:rsidR="00785253">
        <w:rPr>
          <w:b w:val="0"/>
        </w:rPr>
        <w:t xml:space="preserve"> </w:t>
      </w:r>
      <w:r>
        <w:rPr>
          <w:b w:val="0"/>
        </w:rPr>
        <w:t>The above discussion is summarized with the following proposals:</w:t>
      </w:r>
    </w:p>
    <w:p w14:paraId="774404C6" w14:textId="5D1AB8AF" w:rsidR="00C27DD1" w:rsidRPr="00785253" w:rsidRDefault="00785253" w:rsidP="00785253">
      <w:pPr>
        <w:pStyle w:val="TOC1"/>
        <w:numPr>
          <w:ilvl w:val="0"/>
          <w:numId w:val="53"/>
        </w:numPr>
        <w:rPr>
          <w:b w:val="0"/>
        </w:rPr>
      </w:pPr>
      <w:r w:rsidRPr="00785253">
        <w:rPr>
          <w:b w:val="0"/>
        </w:rPr>
        <w:t>Study the impact of dynamic insertion of DMRS by link level simulations.</w:t>
      </w:r>
    </w:p>
    <w:p w14:paraId="7DBB0356" w14:textId="0A7BE312" w:rsidR="00785253" w:rsidRPr="00785253" w:rsidRDefault="00785253" w:rsidP="00785253">
      <w:pPr>
        <w:pStyle w:val="TOC1"/>
        <w:numPr>
          <w:ilvl w:val="0"/>
          <w:numId w:val="53"/>
        </w:numPr>
        <w:rPr>
          <w:b w:val="0"/>
        </w:rPr>
      </w:pPr>
      <w:r w:rsidRPr="00785253">
        <w:rPr>
          <w:b w:val="0"/>
        </w:rPr>
        <w:t>Study the impact of UEs sharing the same UL DMRS location by link level simulations.</w:t>
      </w:r>
    </w:p>
    <w:p w14:paraId="547A2B7F" w14:textId="78FB9958" w:rsidR="00785253" w:rsidRPr="00785253" w:rsidRDefault="00785253" w:rsidP="00785253">
      <w:pPr>
        <w:pStyle w:val="TOC1"/>
        <w:numPr>
          <w:ilvl w:val="0"/>
          <w:numId w:val="53"/>
        </w:numPr>
        <w:rPr>
          <w:b w:val="0"/>
        </w:rPr>
      </w:pPr>
      <w:r w:rsidRPr="00785253">
        <w:rPr>
          <w:b w:val="0"/>
        </w:rPr>
        <w:t>Study how to support multiplexing of aperiodic and periodic CSI reporting on sPUSCH</w:t>
      </w:r>
    </w:p>
    <w:p w14:paraId="37D578D8" w14:textId="31973CF3" w:rsidR="00785253" w:rsidRPr="00785253" w:rsidRDefault="00785253" w:rsidP="00785253">
      <w:pPr>
        <w:pStyle w:val="TOC1"/>
        <w:numPr>
          <w:ilvl w:val="0"/>
          <w:numId w:val="53"/>
        </w:numPr>
        <w:rPr>
          <w:b w:val="0"/>
        </w:rPr>
      </w:pPr>
      <w:r w:rsidRPr="00785253">
        <w:rPr>
          <w:b w:val="0"/>
        </w:rPr>
        <w:t>After the processing times for sPDSCH and sPUSCH is known study how to multiplex HARQ-ACK on sPUSCH</w:t>
      </w:r>
    </w:p>
    <w:p w14:paraId="077823A8" w14:textId="77777777" w:rsidR="00C27DD1" w:rsidRDefault="00C27DD1" w:rsidP="00C27DD1">
      <w:pPr>
        <w:pStyle w:val="Heading1"/>
        <w:numPr>
          <w:ilvl w:val="0"/>
          <w:numId w:val="43"/>
        </w:numPr>
        <w:textAlignment w:val="auto"/>
        <w:rPr>
          <w:lang w:val="en-US"/>
        </w:rPr>
      </w:pPr>
      <w:r>
        <w:rPr>
          <w:lang w:val="en-US"/>
        </w:rPr>
        <w:t>References</w:t>
      </w:r>
    </w:p>
    <w:p w14:paraId="26FCA3F2" w14:textId="5CAC7E71" w:rsidR="00C27DD1" w:rsidRPr="00785253" w:rsidRDefault="00C27DD1" w:rsidP="00785253">
      <w:pPr>
        <w:pStyle w:val="Reference"/>
        <w:numPr>
          <w:ilvl w:val="0"/>
          <w:numId w:val="49"/>
        </w:numPr>
        <w:textAlignment w:val="auto"/>
        <w:rPr>
          <w:lang w:val="en-US"/>
        </w:rPr>
      </w:pPr>
      <w:bookmarkStart w:id="30" w:name="_Ref442166251"/>
      <w:r w:rsidRPr="00785253">
        <w:rPr>
          <w:rFonts w:cs="Arial"/>
          <w:bCs/>
          <w:noProof/>
          <w:szCs w:val="18"/>
          <w:lang w:val="en-US"/>
        </w:rPr>
        <w:t>R1-1</w:t>
      </w:r>
      <w:r w:rsidR="0063697A" w:rsidRPr="00785253">
        <w:rPr>
          <w:rFonts w:cs="Arial"/>
          <w:bCs/>
          <w:noProof/>
          <w:szCs w:val="18"/>
          <w:lang w:val="en-US"/>
        </w:rPr>
        <w:t>6</w:t>
      </w:r>
      <w:r w:rsidR="00785253">
        <w:rPr>
          <w:rFonts w:cs="Arial"/>
          <w:bCs/>
          <w:noProof/>
          <w:szCs w:val="18"/>
          <w:lang w:val="en-US"/>
        </w:rPr>
        <w:t>3316</w:t>
      </w:r>
      <w:r w:rsidR="0063697A" w:rsidRPr="00785253">
        <w:rPr>
          <w:rFonts w:cs="Arial"/>
          <w:bCs/>
          <w:noProof/>
          <w:szCs w:val="18"/>
          <w:lang w:val="en-US"/>
        </w:rPr>
        <w:t xml:space="preserve">, </w:t>
      </w:r>
      <w:r w:rsidR="00785253" w:rsidRPr="00785253">
        <w:rPr>
          <w:rFonts w:cs="Arial"/>
          <w:bCs/>
          <w:noProof/>
          <w:szCs w:val="18"/>
          <w:lang w:val="en-US"/>
        </w:rPr>
        <w:t>Link evaluation for PUSCH for short TTI</w:t>
      </w:r>
      <w:r>
        <w:t>, Ericsson, RAN1#84</w:t>
      </w:r>
      <w:r w:rsidR="0063697A">
        <w:t xml:space="preserve"> bits</w:t>
      </w:r>
      <w:r>
        <w:t xml:space="preserve">, </w:t>
      </w:r>
      <w:r w:rsidR="0063697A">
        <w:t>April</w:t>
      </w:r>
      <w:r>
        <w:t xml:space="preserve"> 2016.</w:t>
      </w:r>
      <w:bookmarkEnd w:id="30"/>
    </w:p>
    <w:p w14:paraId="452A526E" w14:textId="2EBE8CCB" w:rsidR="00C27DD1" w:rsidRDefault="00C27DD1" w:rsidP="006B3F57">
      <w:pPr>
        <w:pStyle w:val="Reference"/>
        <w:numPr>
          <w:ilvl w:val="0"/>
          <w:numId w:val="0"/>
        </w:numPr>
        <w:textAlignment w:val="auto"/>
        <w:rPr>
          <w:lang w:val="en-US"/>
        </w:rPr>
      </w:pPr>
    </w:p>
    <w:p w14:paraId="03A925CC" w14:textId="77777777" w:rsidR="00C27DD1" w:rsidRDefault="00C27DD1" w:rsidP="00333F11">
      <w:pPr>
        <w:pStyle w:val="Reference"/>
        <w:keepNext/>
        <w:keepLines/>
        <w:numPr>
          <w:ilvl w:val="0"/>
          <w:numId w:val="0"/>
        </w:numPr>
        <w:tabs>
          <w:tab w:val="left" w:pos="1304"/>
        </w:tabs>
        <w:rPr>
          <w:lang w:val="en-US"/>
        </w:rPr>
      </w:pPr>
    </w:p>
    <w:sectPr w:rsidR="00C27DD1">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F6BC35" w14:textId="77777777" w:rsidR="004E4E53" w:rsidRDefault="004E4E53">
      <w:r>
        <w:separator/>
      </w:r>
    </w:p>
  </w:endnote>
  <w:endnote w:type="continuationSeparator" w:id="0">
    <w:p w14:paraId="600B9A03" w14:textId="77777777" w:rsidR="004E4E53" w:rsidRDefault="004E4E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BC42A1" w14:textId="77777777" w:rsidR="005E53B2" w:rsidRDefault="005E53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8525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8525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CAF801" w14:textId="77777777" w:rsidR="004E4E53" w:rsidRDefault="004E4E53">
      <w:r>
        <w:separator/>
      </w:r>
    </w:p>
  </w:footnote>
  <w:footnote w:type="continuationSeparator" w:id="0">
    <w:p w14:paraId="555D0CF3" w14:textId="77777777" w:rsidR="004E4E53" w:rsidRDefault="004E4E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9DA12D" w14:textId="77777777" w:rsidR="005E53B2" w:rsidRDefault="005E53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816F3C2"/>
    <w:lvl w:ilvl="0">
      <w:start w:val="1"/>
      <w:numFmt w:val="decimal"/>
      <w:lvlText w:val="%1."/>
      <w:lvlJc w:val="left"/>
      <w:pPr>
        <w:tabs>
          <w:tab w:val="num" w:pos="1492"/>
        </w:tabs>
        <w:ind w:left="1492" w:hanging="360"/>
      </w:pPr>
    </w:lvl>
  </w:abstractNum>
  <w:abstractNum w:abstractNumId="1">
    <w:nsid w:val="FFFFFF7D"/>
    <w:multiLevelType w:val="singleLevel"/>
    <w:tmpl w:val="36326736"/>
    <w:lvl w:ilvl="0">
      <w:start w:val="1"/>
      <w:numFmt w:val="decimal"/>
      <w:lvlText w:val="%1."/>
      <w:lvlJc w:val="left"/>
      <w:pPr>
        <w:tabs>
          <w:tab w:val="num" w:pos="1209"/>
        </w:tabs>
        <w:ind w:left="1209" w:hanging="360"/>
      </w:pPr>
    </w:lvl>
  </w:abstractNum>
  <w:abstractNum w:abstractNumId="2">
    <w:nsid w:val="FFFFFF7E"/>
    <w:multiLevelType w:val="singleLevel"/>
    <w:tmpl w:val="2780B4DE"/>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2E41238"/>
    <w:multiLevelType w:val="hybridMultilevel"/>
    <w:tmpl w:val="91A01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50B27FD"/>
    <w:multiLevelType w:val="hybridMultilevel"/>
    <w:tmpl w:val="7B086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6883C97"/>
    <w:multiLevelType w:val="hybridMultilevel"/>
    <w:tmpl w:val="CE063C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0B7F2F06"/>
    <w:multiLevelType w:val="hybridMultilevel"/>
    <w:tmpl w:val="32A06C94"/>
    <w:lvl w:ilvl="0" w:tplc="AD8A35B0">
      <w:numFmt w:val="bullet"/>
      <w:lvlText w:val="•"/>
      <w:lvlJc w:val="left"/>
      <w:pPr>
        <w:ind w:left="930" w:hanging="57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nsid w:val="12092466"/>
    <w:multiLevelType w:val="hybridMultilevel"/>
    <w:tmpl w:val="4FFE4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2DE7CCC"/>
    <w:multiLevelType w:val="hybridMultilevel"/>
    <w:tmpl w:val="A2A8A078"/>
    <w:lvl w:ilvl="0" w:tplc="D6DAF1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717D0F"/>
    <w:multiLevelType w:val="hybridMultilevel"/>
    <w:tmpl w:val="B77E048E"/>
    <w:lvl w:ilvl="0" w:tplc="4BFC689C">
      <w:numFmt w:val="bullet"/>
      <w:lvlText w:val="-"/>
      <w:lvlJc w:val="left"/>
      <w:pPr>
        <w:ind w:left="930" w:hanging="360"/>
      </w:pPr>
      <w:rPr>
        <w:rFonts w:ascii="Arial" w:eastAsia="Calibri" w:hAnsi="Arial" w:cs="Arial"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13">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23413966"/>
    <w:multiLevelType w:val="hybridMultilevel"/>
    <w:tmpl w:val="7E643ACC"/>
    <w:lvl w:ilvl="0" w:tplc="2BE09BD4">
      <w:start w:val="1"/>
      <w:numFmt w:val="bullet"/>
      <w:lvlText w:val="›"/>
      <w:lvlJc w:val="left"/>
      <w:pPr>
        <w:tabs>
          <w:tab w:val="num" w:pos="720"/>
        </w:tabs>
        <w:ind w:left="720" w:hanging="360"/>
      </w:pPr>
      <w:rPr>
        <w:rFonts w:ascii="Ericsson Capital TT" w:hAnsi="Ericsson Capital TT" w:hint="default"/>
      </w:rPr>
    </w:lvl>
    <w:lvl w:ilvl="1" w:tplc="BA02768A">
      <w:start w:val="1"/>
      <w:numFmt w:val="bullet"/>
      <w:lvlText w:val="›"/>
      <w:lvlJc w:val="left"/>
      <w:pPr>
        <w:tabs>
          <w:tab w:val="num" w:pos="1440"/>
        </w:tabs>
        <w:ind w:left="1440" w:hanging="360"/>
      </w:pPr>
      <w:rPr>
        <w:rFonts w:ascii="Ericsson Capital TT" w:hAnsi="Ericsson Capital TT" w:hint="default"/>
      </w:rPr>
    </w:lvl>
    <w:lvl w:ilvl="2" w:tplc="28A2546C">
      <w:start w:val="1"/>
      <w:numFmt w:val="bullet"/>
      <w:lvlText w:val="›"/>
      <w:lvlJc w:val="left"/>
      <w:pPr>
        <w:tabs>
          <w:tab w:val="num" w:pos="2160"/>
        </w:tabs>
        <w:ind w:left="2160" w:hanging="360"/>
      </w:pPr>
      <w:rPr>
        <w:rFonts w:ascii="Ericsson Capital TT" w:hAnsi="Ericsson Capital TT" w:hint="default"/>
      </w:rPr>
    </w:lvl>
    <w:lvl w:ilvl="3" w:tplc="15CC7F54">
      <w:start w:val="1"/>
      <w:numFmt w:val="bullet"/>
      <w:lvlText w:val="›"/>
      <w:lvlJc w:val="left"/>
      <w:pPr>
        <w:tabs>
          <w:tab w:val="num" w:pos="2880"/>
        </w:tabs>
        <w:ind w:left="2880" w:hanging="360"/>
      </w:pPr>
      <w:rPr>
        <w:rFonts w:ascii="Ericsson Capital TT" w:hAnsi="Ericsson Capital TT" w:hint="default"/>
      </w:rPr>
    </w:lvl>
    <w:lvl w:ilvl="4" w:tplc="1DB87AD4" w:tentative="1">
      <w:start w:val="1"/>
      <w:numFmt w:val="bullet"/>
      <w:lvlText w:val="›"/>
      <w:lvlJc w:val="left"/>
      <w:pPr>
        <w:tabs>
          <w:tab w:val="num" w:pos="3600"/>
        </w:tabs>
        <w:ind w:left="3600" w:hanging="360"/>
      </w:pPr>
      <w:rPr>
        <w:rFonts w:ascii="Ericsson Capital TT" w:hAnsi="Ericsson Capital TT" w:hint="default"/>
      </w:rPr>
    </w:lvl>
    <w:lvl w:ilvl="5" w:tplc="BDDE6C16" w:tentative="1">
      <w:start w:val="1"/>
      <w:numFmt w:val="bullet"/>
      <w:lvlText w:val="›"/>
      <w:lvlJc w:val="left"/>
      <w:pPr>
        <w:tabs>
          <w:tab w:val="num" w:pos="4320"/>
        </w:tabs>
        <w:ind w:left="4320" w:hanging="360"/>
      </w:pPr>
      <w:rPr>
        <w:rFonts w:ascii="Ericsson Capital TT" w:hAnsi="Ericsson Capital TT" w:hint="default"/>
      </w:rPr>
    </w:lvl>
    <w:lvl w:ilvl="6" w:tplc="0E5AF444" w:tentative="1">
      <w:start w:val="1"/>
      <w:numFmt w:val="bullet"/>
      <w:lvlText w:val="›"/>
      <w:lvlJc w:val="left"/>
      <w:pPr>
        <w:tabs>
          <w:tab w:val="num" w:pos="5040"/>
        </w:tabs>
        <w:ind w:left="5040" w:hanging="360"/>
      </w:pPr>
      <w:rPr>
        <w:rFonts w:ascii="Ericsson Capital TT" w:hAnsi="Ericsson Capital TT" w:hint="default"/>
      </w:rPr>
    </w:lvl>
    <w:lvl w:ilvl="7" w:tplc="997E1D44" w:tentative="1">
      <w:start w:val="1"/>
      <w:numFmt w:val="bullet"/>
      <w:lvlText w:val="›"/>
      <w:lvlJc w:val="left"/>
      <w:pPr>
        <w:tabs>
          <w:tab w:val="num" w:pos="5760"/>
        </w:tabs>
        <w:ind w:left="5760" w:hanging="360"/>
      </w:pPr>
      <w:rPr>
        <w:rFonts w:ascii="Ericsson Capital TT" w:hAnsi="Ericsson Capital TT" w:hint="default"/>
      </w:rPr>
    </w:lvl>
    <w:lvl w:ilvl="8" w:tplc="204421F8" w:tentative="1">
      <w:start w:val="1"/>
      <w:numFmt w:val="bullet"/>
      <w:lvlText w:val="›"/>
      <w:lvlJc w:val="left"/>
      <w:pPr>
        <w:tabs>
          <w:tab w:val="num" w:pos="6480"/>
        </w:tabs>
        <w:ind w:left="6480" w:hanging="360"/>
      </w:pPr>
      <w:rPr>
        <w:rFonts w:ascii="Ericsson Capital TT" w:hAnsi="Ericsson Capital TT" w:hint="default"/>
      </w:rPr>
    </w:lvl>
  </w:abstractNum>
  <w:abstractNum w:abstractNumId="15">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nsid w:val="4F595171"/>
    <w:multiLevelType w:val="hybridMultilevel"/>
    <w:tmpl w:val="6F2C5B7A"/>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9">
    <w:nsid w:val="55463757"/>
    <w:multiLevelType w:val="hybridMultilevel"/>
    <w:tmpl w:val="68E24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5">
    <w:nsid w:val="6CB112B3"/>
    <w:multiLevelType w:val="hybridMultilevel"/>
    <w:tmpl w:val="13B8CE40"/>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36">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EF03AF0"/>
    <w:multiLevelType w:val="hybridMultilevel"/>
    <w:tmpl w:val="C2FCE662"/>
    <w:lvl w:ilvl="0" w:tplc="3A16E74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973157E"/>
    <w:multiLevelType w:val="hybridMultilevel"/>
    <w:tmpl w:val="773EF8C2"/>
    <w:lvl w:ilvl="0" w:tplc="F04C3194">
      <w:numFmt w:val="bullet"/>
      <w:lvlText w:val="-"/>
      <w:lvlJc w:val="left"/>
      <w:pPr>
        <w:ind w:left="720" w:hanging="360"/>
      </w:pPr>
      <w:rPr>
        <w:rFonts w:ascii="Arial" w:eastAsia="Calibr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8"/>
  </w:num>
  <w:num w:numId="4">
    <w:abstractNumId w:val="19"/>
  </w:num>
  <w:num w:numId="5">
    <w:abstractNumId w:val="16"/>
  </w:num>
  <w:num w:numId="6">
    <w:abstractNumId w:val="21"/>
  </w:num>
  <w:num w:numId="7">
    <w:abstractNumId w:val="30"/>
  </w:num>
  <w:num w:numId="8">
    <w:abstractNumId w:val="17"/>
  </w:num>
  <w:num w:numId="9">
    <w:abstractNumId w:val="15"/>
  </w:num>
  <w:num w:numId="10">
    <w:abstractNumId w:val="2"/>
  </w:num>
  <w:num w:numId="11">
    <w:abstractNumId w:val="1"/>
  </w:num>
  <w:num w:numId="12">
    <w:abstractNumId w:val="0"/>
  </w:num>
  <w:num w:numId="13">
    <w:abstractNumId w:val="26"/>
  </w:num>
  <w:num w:numId="14">
    <w:abstractNumId w:val="22"/>
  </w:num>
  <w:num w:numId="15">
    <w:abstractNumId w:val="7"/>
  </w:num>
  <w:num w:numId="16">
    <w:abstractNumId w:val="24"/>
  </w:num>
  <w:num w:numId="17">
    <w:abstractNumId w:val="20"/>
  </w:num>
  <w:num w:numId="18">
    <w:abstractNumId w:val="27"/>
  </w:num>
  <w:num w:numId="19">
    <w:abstractNumId w:val="28"/>
  </w:num>
  <w:num w:numId="20">
    <w:abstractNumId w:val="9"/>
  </w:num>
  <w:num w:numId="21">
    <w:abstractNumId w:val="34"/>
  </w:num>
  <w:num w:numId="22">
    <w:abstractNumId w:val="32"/>
  </w:num>
  <w:num w:numId="23">
    <w:abstractNumId w:val="13"/>
  </w:num>
  <w:num w:numId="24">
    <w:abstractNumId w:val="18"/>
  </w:num>
  <w:num w:numId="25">
    <w:abstractNumId w:val="18"/>
    <w:lvlOverride w:ilvl="0">
      <w:startOverride w:val="1"/>
    </w:lvlOverride>
  </w:num>
  <w:num w:numId="26">
    <w:abstractNumId w:val="18"/>
    <w:lvlOverride w:ilvl="0">
      <w:startOverride w:val="1"/>
    </w:lvlOverride>
  </w:num>
  <w:num w:numId="27">
    <w:abstractNumId w:val="18"/>
    <w:lvlOverride w:ilvl="0">
      <w:startOverride w:val="1"/>
    </w:lvlOverride>
  </w:num>
  <w:num w:numId="28">
    <w:abstractNumId w:val="33"/>
  </w:num>
  <w:num w:numId="29">
    <w:abstractNumId w:val="37"/>
  </w:num>
  <w:num w:numId="30">
    <w:abstractNumId w:val="36"/>
  </w:num>
  <w:num w:numId="31">
    <w:abstractNumId w:val="31"/>
  </w:num>
  <w:num w:numId="32">
    <w:abstractNumId w:val="35"/>
  </w:num>
  <w:num w:numId="33">
    <w:abstractNumId w:val="4"/>
  </w:num>
  <w:num w:numId="34">
    <w:abstractNumId w:val="39"/>
  </w:num>
  <w:num w:numId="35">
    <w:abstractNumId w:val="5"/>
  </w:num>
  <w:num w:numId="36">
    <w:abstractNumId w:val="6"/>
  </w:num>
  <w:num w:numId="37">
    <w:abstractNumId w:val="26"/>
    <w:lvlOverride w:ilvl="0">
      <w:startOverride w:val="1"/>
    </w:lvlOverride>
  </w:num>
  <w:num w:numId="38">
    <w:abstractNumId w:val="12"/>
  </w:num>
  <w:num w:numId="39">
    <w:abstractNumId w:val="11"/>
  </w:num>
  <w:num w:numId="40">
    <w:abstractNumId w:val="26"/>
    <w:lvlOverride w:ilvl="0">
      <w:startOverride w:val="1"/>
    </w:lvlOverride>
  </w:num>
  <w:num w:numId="41">
    <w:abstractNumId w:val="40"/>
  </w:num>
  <w:num w:numId="42">
    <w:abstractNumId w:val="38"/>
  </w:num>
  <w:num w:numId="4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4"/>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8"/>
  </w:num>
  <w:num w:numId="51">
    <w:abstractNumId w:val="29"/>
  </w:num>
  <w:num w:numId="52">
    <w:abstractNumId w:val="25"/>
  </w:num>
  <w:num w:numId="53">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1CB0"/>
    <w:rsid w:val="00002A37"/>
    <w:rsid w:val="000032F4"/>
    <w:rsid w:val="00006446"/>
    <w:rsid w:val="00006896"/>
    <w:rsid w:val="00006EDC"/>
    <w:rsid w:val="00007CDC"/>
    <w:rsid w:val="0001115E"/>
    <w:rsid w:val="00011B28"/>
    <w:rsid w:val="00012CA8"/>
    <w:rsid w:val="00013FC9"/>
    <w:rsid w:val="00015D15"/>
    <w:rsid w:val="00023678"/>
    <w:rsid w:val="00024170"/>
    <w:rsid w:val="00025347"/>
    <w:rsid w:val="0002564D"/>
    <w:rsid w:val="00025ECA"/>
    <w:rsid w:val="000325B8"/>
    <w:rsid w:val="00034C15"/>
    <w:rsid w:val="000364B8"/>
    <w:rsid w:val="00036BA1"/>
    <w:rsid w:val="00040292"/>
    <w:rsid w:val="00041962"/>
    <w:rsid w:val="000422E2"/>
    <w:rsid w:val="00042F22"/>
    <w:rsid w:val="0004395C"/>
    <w:rsid w:val="00043F68"/>
    <w:rsid w:val="000444EF"/>
    <w:rsid w:val="000511F7"/>
    <w:rsid w:val="00052A07"/>
    <w:rsid w:val="000534E3"/>
    <w:rsid w:val="00053D03"/>
    <w:rsid w:val="0005606A"/>
    <w:rsid w:val="00057117"/>
    <w:rsid w:val="000609B7"/>
    <w:rsid w:val="000616E7"/>
    <w:rsid w:val="0006487E"/>
    <w:rsid w:val="00065E1A"/>
    <w:rsid w:val="0007092F"/>
    <w:rsid w:val="0007094A"/>
    <w:rsid w:val="00070FBD"/>
    <w:rsid w:val="000715B7"/>
    <w:rsid w:val="00077E5F"/>
    <w:rsid w:val="0008036A"/>
    <w:rsid w:val="00081AE6"/>
    <w:rsid w:val="000855EB"/>
    <w:rsid w:val="00085B52"/>
    <w:rsid w:val="000866F2"/>
    <w:rsid w:val="0009009F"/>
    <w:rsid w:val="00090CCA"/>
    <w:rsid w:val="00091557"/>
    <w:rsid w:val="000924C1"/>
    <w:rsid w:val="000924F0"/>
    <w:rsid w:val="00093474"/>
    <w:rsid w:val="000937BD"/>
    <w:rsid w:val="0009510F"/>
    <w:rsid w:val="000A1B7B"/>
    <w:rsid w:val="000A1EA1"/>
    <w:rsid w:val="000A36C3"/>
    <w:rsid w:val="000A3E17"/>
    <w:rsid w:val="000A56F2"/>
    <w:rsid w:val="000B02E5"/>
    <w:rsid w:val="000B2719"/>
    <w:rsid w:val="000B3A8F"/>
    <w:rsid w:val="000B4AB9"/>
    <w:rsid w:val="000B58C3"/>
    <w:rsid w:val="000B61E9"/>
    <w:rsid w:val="000C038F"/>
    <w:rsid w:val="000C165A"/>
    <w:rsid w:val="000C27C5"/>
    <w:rsid w:val="000C2E19"/>
    <w:rsid w:val="000C3B9C"/>
    <w:rsid w:val="000C7397"/>
    <w:rsid w:val="000D0D07"/>
    <w:rsid w:val="000D2D69"/>
    <w:rsid w:val="000D4797"/>
    <w:rsid w:val="000D6C88"/>
    <w:rsid w:val="000E0527"/>
    <w:rsid w:val="000E1E92"/>
    <w:rsid w:val="000F06D6"/>
    <w:rsid w:val="000F0EB1"/>
    <w:rsid w:val="000F1106"/>
    <w:rsid w:val="000F3BE9"/>
    <w:rsid w:val="000F3F6C"/>
    <w:rsid w:val="000F43F8"/>
    <w:rsid w:val="000F6DF3"/>
    <w:rsid w:val="001005FF"/>
    <w:rsid w:val="00100F45"/>
    <w:rsid w:val="001062FB"/>
    <w:rsid w:val="001063E6"/>
    <w:rsid w:val="00107A20"/>
    <w:rsid w:val="00110233"/>
    <w:rsid w:val="00113CF4"/>
    <w:rsid w:val="001153EA"/>
    <w:rsid w:val="00115643"/>
    <w:rsid w:val="00115E25"/>
    <w:rsid w:val="001163DE"/>
    <w:rsid w:val="00116765"/>
    <w:rsid w:val="001174B9"/>
    <w:rsid w:val="001219F5"/>
    <w:rsid w:val="00121A20"/>
    <w:rsid w:val="0012377F"/>
    <w:rsid w:val="00124314"/>
    <w:rsid w:val="00125CE0"/>
    <w:rsid w:val="00126B4A"/>
    <w:rsid w:val="00132FD0"/>
    <w:rsid w:val="0013301A"/>
    <w:rsid w:val="001344C0"/>
    <w:rsid w:val="001346FA"/>
    <w:rsid w:val="00135252"/>
    <w:rsid w:val="00137728"/>
    <w:rsid w:val="00137AB5"/>
    <w:rsid w:val="00137F0B"/>
    <w:rsid w:val="00142A99"/>
    <w:rsid w:val="00143008"/>
    <w:rsid w:val="0014787F"/>
    <w:rsid w:val="001519C5"/>
    <w:rsid w:val="00151E23"/>
    <w:rsid w:val="001526E0"/>
    <w:rsid w:val="0015387F"/>
    <w:rsid w:val="001551B5"/>
    <w:rsid w:val="00155B29"/>
    <w:rsid w:val="001659C1"/>
    <w:rsid w:val="0016637B"/>
    <w:rsid w:val="00170C54"/>
    <w:rsid w:val="00173A8E"/>
    <w:rsid w:val="0018143F"/>
    <w:rsid w:val="0018777E"/>
    <w:rsid w:val="001906F8"/>
    <w:rsid w:val="00190AC1"/>
    <w:rsid w:val="00192423"/>
    <w:rsid w:val="0019259A"/>
    <w:rsid w:val="001928FD"/>
    <w:rsid w:val="0019341A"/>
    <w:rsid w:val="00193A16"/>
    <w:rsid w:val="0019470F"/>
    <w:rsid w:val="001955A4"/>
    <w:rsid w:val="00196C01"/>
    <w:rsid w:val="00197DF9"/>
    <w:rsid w:val="001A1987"/>
    <w:rsid w:val="001A2564"/>
    <w:rsid w:val="001A2B06"/>
    <w:rsid w:val="001A6173"/>
    <w:rsid w:val="001A6CBA"/>
    <w:rsid w:val="001B0579"/>
    <w:rsid w:val="001B0D97"/>
    <w:rsid w:val="001B189A"/>
    <w:rsid w:val="001B5A5D"/>
    <w:rsid w:val="001C1632"/>
    <w:rsid w:val="001C1CE5"/>
    <w:rsid w:val="001C3D2A"/>
    <w:rsid w:val="001D51BA"/>
    <w:rsid w:val="001D61A9"/>
    <w:rsid w:val="001D6342"/>
    <w:rsid w:val="001D6D53"/>
    <w:rsid w:val="001E0114"/>
    <w:rsid w:val="001E055D"/>
    <w:rsid w:val="001E09BB"/>
    <w:rsid w:val="001E114A"/>
    <w:rsid w:val="001E15F8"/>
    <w:rsid w:val="001E1DF8"/>
    <w:rsid w:val="001E58E2"/>
    <w:rsid w:val="001E7AED"/>
    <w:rsid w:val="001F1261"/>
    <w:rsid w:val="001F2689"/>
    <w:rsid w:val="001F3916"/>
    <w:rsid w:val="001F54C5"/>
    <w:rsid w:val="001F662C"/>
    <w:rsid w:val="001F7074"/>
    <w:rsid w:val="00200490"/>
    <w:rsid w:val="00200FF6"/>
    <w:rsid w:val="00201F3A"/>
    <w:rsid w:val="00203F96"/>
    <w:rsid w:val="00205B63"/>
    <w:rsid w:val="002069B2"/>
    <w:rsid w:val="00207231"/>
    <w:rsid w:val="00207FA3"/>
    <w:rsid w:val="0021200B"/>
    <w:rsid w:val="0021281F"/>
    <w:rsid w:val="00214DA8"/>
    <w:rsid w:val="00215423"/>
    <w:rsid w:val="002158FA"/>
    <w:rsid w:val="00220600"/>
    <w:rsid w:val="00221380"/>
    <w:rsid w:val="002224DB"/>
    <w:rsid w:val="002231CD"/>
    <w:rsid w:val="00223FCB"/>
    <w:rsid w:val="002252C3"/>
    <w:rsid w:val="00225C54"/>
    <w:rsid w:val="00230765"/>
    <w:rsid w:val="002319E4"/>
    <w:rsid w:val="00232211"/>
    <w:rsid w:val="00233F86"/>
    <w:rsid w:val="00235632"/>
    <w:rsid w:val="00235872"/>
    <w:rsid w:val="00236AE2"/>
    <w:rsid w:val="00237465"/>
    <w:rsid w:val="00240E69"/>
    <w:rsid w:val="00241459"/>
    <w:rsid w:val="00241559"/>
    <w:rsid w:val="002435B3"/>
    <w:rsid w:val="002458EB"/>
    <w:rsid w:val="002500C8"/>
    <w:rsid w:val="00250B2A"/>
    <w:rsid w:val="002554E9"/>
    <w:rsid w:val="00255D91"/>
    <w:rsid w:val="00257543"/>
    <w:rsid w:val="00257C94"/>
    <w:rsid w:val="002617E7"/>
    <w:rsid w:val="00262E21"/>
    <w:rsid w:val="00263A3F"/>
    <w:rsid w:val="00264228"/>
    <w:rsid w:val="00264334"/>
    <w:rsid w:val="0026473E"/>
    <w:rsid w:val="00266214"/>
    <w:rsid w:val="00267C83"/>
    <w:rsid w:val="0027144F"/>
    <w:rsid w:val="00271899"/>
    <w:rsid w:val="00271F3A"/>
    <w:rsid w:val="002724CD"/>
    <w:rsid w:val="00273278"/>
    <w:rsid w:val="002737F4"/>
    <w:rsid w:val="00277B80"/>
    <w:rsid w:val="002805F5"/>
    <w:rsid w:val="00280751"/>
    <w:rsid w:val="0028280A"/>
    <w:rsid w:val="002828DA"/>
    <w:rsid w:val="00282C54"/>
    <w:rsid w:val="00285311"/>
    <w:rsid w:val="00286176"/>
    <w:rsid w:val="00286ACD"/>
    <w:rsid w:val="00287838"/>
    <w:rsid w:val="002907B5"/>
    <w:rsid w:val="002918A7"/>
    <w:rsid w:val="00292EB7"/>
    <w:rsid w:val="00294857"/>
    <w:rsid w:val="00295E23"/>
    <w:rsid w:val="00296227"/>
    <w:rsid w:val="00296F44"/>
    <w:rsid w:val="0029777D"/>
    <w:rsid w:val="002A055E"/>
    <w:rsid w:val="002A1D4E"/>
    <w:rsid w:val="002A1FBA"/>
    <w:rsid w:val="002A2869"/>
    <w:rsid w:val="002A4CFA"/>
    <w:rsid w:val="002A7746"/>
    <w:rsid w:val="002A778C"/>
    <w:rsid w:val="002A7E72"/>
    <w:rsid w:val="002B24D6"/>
    <w:rsid w:val="002C1219"/>
    <w:rsid w:val="002C41E6"/>
    <w:rsid w:val="002D04B8"/>
    <w:rsid w:val="002D071A"/>
    <w:rsid w:val="002D13DA"/>
    <w:rsid w:val="002D34B2"/>
    <w:rsid w:val="002D3E97"/>
    <w:rsid w:val="002D4825"/>
    <w:rsid w:val="002D5A16"/>
    <w:rsid w:val="002D5ABE"/>
    <w:rsid w:val="002D6234"/>
    <w:rsid w:val="002D6CA1"/>
    <w:rsid w:val="002D6DD0"/>
    <w:rsid w:val="002D7637"/>
    <w:rsid w:val="002E17F2"/>
    <w:rsid w:val="002E2BBC"/>
    <w:rsid w:val="002E5141"/>
    <w:rsid w:val="002E7CAE"/>
    <w:rsid w:val="002F2771"/>
    <w:rsid w:val="002F37A9"/>
    <w:rsid w:val="00301CE6"/>
    <w:rsid w:val="0030256B"/>
    <w:rsid w:val="00302631"/>
    <w:rsid w:val="0030443D"/>
    <w:rsid w:val="00304B6A"/>
    <w:rsid w:val="0030501F"/>
    <w:rsid w:val="00306134"/>
    <w:rsid w:val="00307BA1"/>
    <w:rsid w:val="00311702"/>
    <w:rsid w:val="00311E82"/>
    <w:rsid w:val="00313FD6"/>
    <w:rsid w:val="003140FC"/>
    <w:rsid w:val="003143BD"/>
    <w:rsid w:val="003203ED"/>
    <w:rsid w:val="0032131B"/>
    <w:rsid w:val="00321C4F"/>
    <w:rsid w:val="00322C9F"/>
    <w:rsid w:val="0032460C"/>
    <w:rsid w:val="00324D23"/>
    <w:rsid w:val="00325A36"/>
    <w:rsid w:val="00327FC8"/>
    <w:rsid w:val="00331751"/>
    <w:rsid w:val="00331C1E"/>
    <w:rsid w:val="00333F11"/>
    <w:rsid w:val="00334172"/>
    <w:rsid w:val="00334579"/>
    <w:rsid w:val="00335858"/>
    <w:rsid w:val="00336BDA"/>
    <w:rsid w:val="00342681"/>
    <w:rsid w:val="00342BD7"/>
    <w:rsid w:val="0034324A"/>
    <w:rsid w:val="00346DB5"/>
    <w:rsid w:val="00347407"/>
    <w:rsid w:val="003477B1"/>
    <w:rsid w:val="00350057"/>
    <w:rsid w:val="00351540"/>
    <w:rsid w:val="00354011"/>
    <w:rsid w:val="00357380"/>
    <w:rsid w:val="003602D9"/>
    <w:rsid w:val="003604CE"/>
    <w:rsid w:val="00367803"/>
    <w:rsid w:val="00370E47"/>
    <w:rsid w:val="00372A03"/>
    <w:rsid w:val="003730EF"/>
    <w:rsid w:val="003742AC"/>
    <w:rsid w:val="0037443C"/>
    <w:rsid w:val="003744A0"/>
    <w:rsid w:val="00377CE1"/>
    <w:rsid w:val="00382AA5"/>
    <w:rsid w:val="00383C85"/>
    <w:rsid w:val="00385714"/>
    <w:rsid w:val="00385BF0"/>
    <w:rsid w:val="00390400"/>
    <w:rsid w:val="0039057D"/>
    <w:rsid w:val="003921EB"/>
    <w:rsid w:val="003939FF"/>
    <w:rsid w:val="0039564B"/>
    <w:rsid w:val="003A0575"/>
    <w:rsid w:val="003A2223"/>
    <w:rsid w:val="003A2A0F"/>
    <w:rsid w:val="003A45A1"/>
    <w:rsid w:val="003A5B0A"/>
    <w:rsid w:val="003A6BAC"/>
    <w:rsid w:val="003A6C03"/>
    <w:rsid w:val="003A7EF3"/>
    <w:rsid w:val="003B159C"/>
    <w:rsid w:val="003B19C7"/>
    <w:rsid w:val="003B369F"/>
    <w:rsid w:val="003B36A3"/>
    <w:rsid w:val="003B7FE5"/>
    <w:rsid w:val="003C11C8"/>
    <w:rsid w:val="003C2702"/>
    <w:rsid w:val="003C5A0F"/>
    <w:rsid w:val="003C672E"/>
    <w:rsid w:val="003C713E"/>
    <w:rsid w:val="003C7806"/>
    <w:rsid w:val="003D0851"/>
    <w:rsid w:val="003D109F"/>
    <w:rsid w:val="003D2478"/>
    <w:rsid w:val="003D3C45"/>
    <w:rsid w:val="003D5B1F"/>
    <w:rsid w:val="003E15FA"/>
    <w:rsid w:val="003E2CCC"/>
    <w:rsid w:val="003E4C36"/>
    <w:rsid w:val="003E55E4"/>
    <w:rsid w:val="003E5BD2"/>
    <w:rsid w:val="003E6322"/>
    <w:rsid w:val="003E74E3"/>
    <w:rsid w:val="003F05C7"/>
    <w:rsid w:val="003F2BBC"/>
    <w:rsid w:val="003F2CD4"/>
    <w:rsid w:val="003F3012"/>
    <w:rsid w:val="003F6BBE"/>
    <w:rsid w:val="004000E8"/>
    <w:rsid w:val="00401CBB"/>
    <w:rsid w:val="00402E2B"/>
    <w:rsid w:val="0040512B"/>
    <w:rsid w:val="00405CA5"/>
    <w:rsid w:val="00407AB5"/>
    <w:rsid w:val="00407CD3"/>
    <w:rsid w:val="00410134"/>
    <w:rsid w:val="00410B72"/>
    <w:rsid w:val="00410F18"/>
    <w:rsid w:val="004117A3"/>
    <w:rsid w:val="0041263E"/>
    <w:rsid w:val="0041398A"/>
    <w:rsid w:val="00413AAC"/>
    <w:rsid w:val="00414717"/>
    <w:rsid w:val="00421105"/>
    <w:rsid w:val="004242F4"/>
    <w:rsid w:val="00427248"/>
    <w:rsid w:val="0042786F"/>
    <w:rsid w:val="00432EA3"/>
    <w:rsid w:val="0043324D"/>
    <w:rsid w:val="004358F0"/>
    <w:rsid w:val="00437447"/>
    <w:rsid w:val="00441A92"/>
    <w:rsid w:val="004428EF"/>
    <w:rsid w:val="00444F56"/>
    <w:rsid w:val="0044528E"/>
    <w:rsid w:val="00446488"/>
    <w:rsid w:val="00450D54"/>
    <w:rsid w:val="0045109D"/>
    <w:rsid w:val="004517AA"/>
    <w:rsid w:val="00452CAC"/>
    <w:rsid w:val="00452E9A"/>
    <w:rsid w:val="00452ED0"/>
    <w:rsid w:val="00453385"/>
    <w:rsid w:val="00454082"/>
    <w:rsid w:val="00455381"/>
    <w:rsid w:val="00456150"/>
    <w:rsid w:val="00457565"/>
    <w:rsid w:val="00457B71"/>
    <w:rsid w:val="0046693A"/>
    <w:rsid w:val="004669E2"/>
    <w:rsid w:val="004703FE"/>
    <w:rsid w:val="00470C31"/>
    <w:rsid w:val="004734D0"/>
    <w:rsid w:val="0047475A"/>
    <w:rsid w:val="0047556B"/>
    <w:rsid w:val="00476793"/>
    <w:rsid w:val="00477768"/>
    <w:rsid w:val="00477958"/>
    <w:rsid w:val="00480B0F"/>
    <w:rsid w:val="00482BC7"/>
    <w:rsid w:val="00483F3E"/>
    <w:rsid w:val="00486ACF"/>
    <w:rsid w:val="00490255"/>
    <w:rsid w:val="00492BC5"/>
    <w:rsid w:val="004964F1"/>
    <w:rsid w:val="004A0F7C"/>
    <w:rsid w:val="004A16BC"/>
    <w:rsid w:val="004A2B94"/>
    <w:rsid w:val="004A5281"/>
    <w:rsid w:val="004A68C2"/>
    <w:rsid w:val="004A7419"/>
    <w:rsid w:val="004A7D56"/>
    <w:rsid w:val="004B72BA"/>
    <w:rsid w:val="004B7C0C"/>
    <w:rsid w:val="004C379F"/>
    <w:rsid w:val="004C3898"/>
    <w:rsid w:val="004C7E2C"/>
    <w:rsid w:val="004D212A"/>
    <w:rsid w:val="004D36B1"/>
    <w:rsid w:val="004D7EBD"/>
    <w:rsid w:val="004E2680"/>
    <w:rsid w:val="004E28F9"/>
    <w:rsid w:val="004E3F61"/>
    <w:rsid w:val="004E462E"/>
    <w:rsid w:val="004E4E53"/>
    <w:rsid w:val="004E553A"/>
    <w:rsid w:val="004E56DC"/>
    <w:rsid w:val="004E6092"/>
    <w:rsid w:val="004E6727"/>
    <w:rsid w:val="004E72C3"/>
    <w:rsid w:val="004E76F4"/>
    <w:rsid w:val="004F0B4E"/>
    <w:rsid w:val="004F0B6C"/>
    <w:rsid w:val="004F105D"/>
    <w:rsid w:val="004F2078"/>
    <w:rsid w:val="004F4DA3"/>
    <w:rsid w:val="00500884"/>
    <w:rsid w:val="00501D8D"/>
    <w:rsid w:val="00506557"/>
    <w:rsid w:val="0050677A"/>
    <w:rsid w:val="005108D8"/>
    <w:rsid w:val="005116F9"/>
    <w:rsid w:val="00511A2E"/>
    <w:rsid w:val="005153A7"/>
    <w:rsid w:val="00517AD0"/>
    <w:rsid w:val="0052037E"/>
    <w:rsid w:val="00520D36"/>
    <w:rsid w:val="005219CF"/>
    <w:rsid w:val="005238BB"/>
    <w:rsid w:val="00527027"/>
    <w:rsid w:val="00527DF4"/>
    <w:rsid w:val="00530FD1"/>
    <w:rsid w:val="00531A4E"/>
    <w:rsid w:val="00534B59"/>
    <w:rsid w:val="00535957"/>
    <w:rsid w:val="00535A57"/>
    <w:rsid w:val="00536036"/>
    <w:rsid w:val="00536759"/>
    <w:rsid w:val="00537C62"/>
    <w:rsid w:val="005408AE"/>
    <w:rsid w:val="00544436"/>
    <w:rsid w:val="00545536"/>
    <w:rsid w:val="00546970"/>
    <w:rsid w:val="00552203"/>
    <w:rsid w:val="0055231F"/>
    <w:rsid w:val="00553829"/>
    <w:rsid w:val="00554E19"/>
    <w:rsid w:val="005561A7"/>
    <w:rsid w:val="0056121F"/>
    <w:rsid w:val="00565488"/>
    <w:rsid w:val="005709E3"/>
    <w:rsid w:val="005713F7"/>
    <w:rsid w:val="00572505"/>
    <w:rsid w:val="0058206C"/>
    <w:rsid w:val="00582809"/>
    <w:rsid w:val="0058798C"/>
    <w:rsid w:val="00587FA9"/>
    <w:rsid w:val="005900FA"/>
    <w:rsid w:val="0059175A"/>
    <w:rsid w:val="00591876"/>
    <w:rsid w:val="005935A4"/>
    <w:rsid w:val="0059472E"/>
    <w:rsid w:val="005948C2"/>
    <w:rsid w:val="00595DCA"/>
    <w:rsid w:val="005967E4"/>
    <w:rsid w:val="0059779B"/>
    <w:rsid w:val="005A1ECE"/>
    <w:rsid w:val="005A209A"/>
    <w:rsid w:val="005A3F00"/>
    <w:rsid w:val="005A662D"/>
    <w:rsid w:val="005A68BA"/>
    <w:rsid w:val="005B04A1"/>
    <w:rsid w:val="005B1CDF"/>
    <w:rsid w:val="005B35D7"/>
    <w:rsid w:val="005B392A"/>
    <w:rsid w:val="005B3AA3"/>
    <w:rsid w:val="005B6F83"/>
    <w:rsid w:val="005C136B"/>
    <w:rsid w:val="005C1729"/>
    <w:rsid w:val="005C74FB"/>
    <w:rsid w:val="005C7503"/>
    <w:rsid w:val="005C7F53"/>
    <w:rsid w:val="005D1602"/>
    <w:rsid w:val="005D2B0B"/>
    <w:rsid w:val="005D4C89"/>
    <w:rsid w:val="005D6F32"/>
    <w:rsid w:val="005D7606"/>
    <w:rsid w:val="005E385F"/>
    <w:rsid w:val="005E44DF"/>
    <w:rsid w:val="005E53B2"/>
    <w:rsid w:val="005E5834"/>
    <w:rsid w:val="005E5B81"/>
    <w:rsid w:val="005F2CB1"/>
    <w:rsid w:val="005F3025"/>
    <w:rsid w:val="005F618C"/>
    <w:rsid w:val="005F70BD"/>
    <w:rsid w:val="005F7E70"/>
    <w:rsid w:val="00600F6A"/>
    <w:rsid w:val="0060283C"/>
    <w:rsid w:val="00603BC5"/>
    <w:rsid w:val="00604F14"/>
    <w:rsid w:val="00611B83"/>
    <w:rsid w:val="00613257"/>
    <w:rsid w:val="00615B9D"/>
    <w:rsid w:val="006204DC"/>
    <w:rsid w:val="00620A71"/>
    <w:rsid w:val="00620D80"/>
    <w:rsid w:val="006234A6"/>
    <w:rsid w:val="00623923"/>
    <w:rsid w:val="00630001"/>
    <w:rsid w:val="006311B3"/>
    <w:rsid w:val="00631F81"/>
    <w:rsid w:val="006325E4"/>
    <w:rsid w:val="0063284C"/>
    <w:rsid w:val="00633FFA"/>
    <w:rsid w:val="00636398"/>
    <w:rsid w:val="006368D3"/>
    <w:rsid w:val="0063697A"/>
    <w:rsid w:val="006377EC"/>
    <w:rsid w:val="00640D33"/>
    <w:rsid w:val="0064151F"/>
    <w:rsid w:val="00641533"/>
    <w:rsid w:val="00641D36"/>
    <w:rsid w:val="0064208D"/>
    <w:rsid w:val="00643475"/>
    <w:rsid w:val="0064396A"/>
    <w:rsid w:val="0064502E"/>
    <w:rsid w:val="00645491"/>
    <w:rsid w:val="00645C43"/>
    <w:rsid w:val="0064624E"/>
    <w:rsid w:val="00647629"/>
    <w:rsid w:val="00650AB9"/>
    <w:rsid w:val="00655733"/>
    <w:rsid w:val="00655ACD"/>
    <w:rsid w:val="00656A92"/>
    <w:rsid w:val="00656DDE"/>
    <w:rsid w:val="0066011D"/>
    <w:rsid w:val="006607C0"/>
    <w:rsid w:val="006613A6"/>
    <w:rsid w:val="006627A2"/>
    <w:rsid w:val="00663317"/>
    <w:rsid w:val="006634E6"/>
    <w:rsid w:val="006655EE"/>
    <w:rsid w:val="00667EE7"/>
    <w:rsid w:val="00670922"/>
    <w:rsid w:val="00670BE1"/>
    <w:rsid w:val="00671234"/>
    <w:rsid w:val="0067218F"/>
    <w:rsid w:val="006741F2"/>
    <w:rsid w:val="00674C38"/>
    <w:rsid w:val="00674CC3"/>
    <w:rsid w:val="006758FB"/>
    <w:rsid w:val="00675C72"/>
    <w:rsid w:val="006771F9"/>
    <w:rsid w:val="006776D7"/>
    <w:rsid w:val="00681003"/>
    <w:rsid w:val="006817C9"/>
    <w:rsid w:val="00683ECE"/>
    <w:rsid w:val="00690172"/>
    <w:rsid w:val="00692EDE"/>
    <w:rsid w:val="00695FC2"/>
    <w:rsid w:val="00696949"/>
    <w:rsid w:val="00697052"/>
    <w:rsid w:val="006A18D5"/>
    <w:rsid w:val="006A46FB"/>
    <w:rsid w:val="006A5E1E"/>
    <w:rsid w:val="006A5E28"/>
    <w:rsid w:val="006A697B"/>
    <w:rsid w:val="006A7AFF"/>
    <w:rsid w:val="006B0BB5"/>
    <w:rsid w:val="006B1816"/>
    <w:rsid w:val="006B2099"/>
    <w:rsid w:val="006B3F57"/>
    <w:rsid w:val="006B50CF"/>
    <w:rsid w:val="006B7BE2"/>
    <w:rsid w:val="006C03B8"/>
    <w:rsid w:val="006C5EC9"/>
    <w:rsid w:val="006C6059"/>
    <w:rsid w:val="006C7522"/>
    <w:rsid w:val="006D5B70"/>
    <w:rsid w:val="006D5D33"/>
    <w:rsid w:val="006D6F08"/>
    <w:rsid w:val="006E062C"/>
    <w:rsid w:val="006E28B7"/>
    <w:rsid w:val="006E3310"/>
    <w:rsid w:val="006E4AAA"/>
    <w:rsid w:val="006E4E39"/>
    <w:rsid w:val="006E565E"/>
    <w:rsid w:val="006E673D"/>
    <w:rsid w:val="006E7D3B"/>
    <w:rsid w:val="006F09C9"/>
    <w:rsid w:val="006F0F8A"/>
    <w:rsid w:val="006F0FBF"/>
    <w:rsid w:val="006F1B70"/>
    <w:rsid w:val="006F32A4"/>
    <w:rsid w:val="006F341D"/>
    <w:rsid w:val="006F3CDE"/>
    <w:rsid w:val="006F58D4"/>
    <w:rsid w:val="006F5C36"/>
    <w:rsid w:val="007006BE"/>
    <w:rsid w:val="00702E19"/>
    <w:rsid w:val="0070346E"/>
    <w:rsid w:val="00704EDB"/>
    <w:rsid w:val="00706101"/>
    <w:rsid w:val="0070691F"/>
    <w:rsid w:val="00707072"/>
    <w:rsid w:val="00707287"/>
    <w:rsid w:val="00707D61"/>
    <w:rsid w:val="00710627"/>
    <w:rsid w:val="00712287"/>
    <w:rsid w:val="00712772"/>
    <w:rsid w:val="007129F9"/>
    <w:rsid w:val="00713A69"/>
    <w:rsid w:val="007148D3"/>
    <w:rsid w:val="00715B9A"/>
    <w:rsid w:val="00716896"/>
    <w:rsid w:val="00720817"/>
    <w:rsid w:val="007218E9"/>
    <w:rsid w:val="00726EA6"/>
    <w:rsid w:val="00727208"/>
    <w:rsid w:val="00727680"/>
    <w:rsid w:val="0073381F"/>
    <w:rsid w:val="007348B1"/>
    <w:rsid w:val="00734A8B"/>
    <w:rsid w:val="00735268"/>
    <w:rsid w:val="007355C4"/>
    <w:rsid w:val="007362A6"/>
    <w:rsid w:val="00736D7D"/>
    <w:rsid w:val="00740E58"/>
    <w:rsid w:val="00741F19"/>
    <w:rsid w:val="00742624"/>
    <w:rsid w:val="007438CE"/>
    <w:rsid w:val="007445A0"/>
    <w:rsid w:val="007447EF"/>
    <w:rsid w:val="0074524B"/>
    <w:rsid w:val="00746183"/>
    <w:rsid w:val="00747D8B"/>
    <w:rsid w:val="007508A2"/>
    <w:rsid w:val="00751228"/>
    <w:rsid w:val="007571E1"/>
    <w:rsid w:val="007604B2"/>
    <w:rsid w:val="00762500"/>
    <w:rsid w:val="00765281"/>
    <w:rsid w:val="00766BAD"/>
    <w:rsid w:val="0076708C"/>
    <w:rsid w:val="007755F2"/>
    <w:rsid w:val="00776971"/>
    <w:rsid w:val="00777AC8"/>
    <w:rsid w:val="0078177E"/>
    <w:rsid w:val="0078304C"/>
    <w:rsid w:val="00783673"/>
    <w:rsid w:val="00785253"/>
    <w:rsid w:val="00785490"/>
    <w:rsid w:val="00785BC6"/>
    <w:rsid w:val="00787B13"/>
    <w:rsid w:val="007925EA"/>
    <w:rsid w:val="00792A09"/>
    <w:rsid w:val="007935D9"/>
    <w:rsid w:val="00793CD8"/>
    <w:rsid w:val="007950A8"/>
    <w:rsid w:val="00795C92"/>
    <w:rsid w:val="00796231"/>
    <w:rsid w:val="007966F9"/>
    <w:rsid w:val="00796F94"/>
    <w:rsid w:val="007A1CB3"/>
    <w:rsid w:val="007A306F"/>
    <w:rsid w:val="007A43A6"/>
    <w:rsid w:val="007A58A6"/>
    <w:rsid w:val="007A6AD0"/>
    <w:rsid w:val="007A719B"/>
    <w:rsid w:val="007B3D2D"/>
    <w:rsid w:val="007B50AE"/>
    <w:rsid w:val="007B51DF"/>
    <w:rsid w:val="007B5213"/>
    <w:rsid w:val="007B68C1"/>
    <w:rsid w:val="007C05DD"/>
    <w:rsid w:val="007C3D18"/>
    <w:rsid w:val="007C60BF"/>
    <w:rsid w:val="007C6A07"/>
    <w:rsid w:val="007C75A1"/>
    <w:rsid w:val="007C77A5"/>
    <w:rsid w:val="007D04E5"/>
    <w:rsid w:val="007D1E1D"/>
    <w:rsid w:val="007D5901"/>
    <w:rsid w:val="007D685B"/>
    <w:rsid w:val="007D7526"/>
    <w:rsid w:val="007E4610"/>
    <w:rsid w:val="007E4715"/>
    <w:rsid w:val="007E505B"/>
    <w:rsid w:val="007E683C"/>
    <w:rsid w:val="007E7091"/>
    <w:rsid w:val="007E784D"/>
    <w:rsid w:val="007F48E0"/>
    <w:rsid w:val="007F4FCA"/>
    <w:rsid w:val="00803FAE"/>
    <w:rsid w:val="0080605F"/>
    <w:rsid w:val="008076AB"/>
    <w:rsid w:val="00807786"/>
    <w:rsid w:val="00811FCB"/>
    <w:rsid w:val="0081579D"/>
    <w:rsid w:val="008158D6"/>
    <w:rsid w:val="00817196"/>
    <w:rsid w:val="00820630"/>
    <w:rsid w:val="008235DB"/>
    <w:rsid w:val="00824AB4"/>
    <w:rsid w:val="00825C42"/>
    <w:rsid w:val="00825D25"/>
    <w:rsid w:val="00827746"/>
    <w:rsid w:val="00827D6F"/>
    <w:rsid w:val="00833A21"/>
    <w:rsid w:val="0083700D"/>
    <w:rsid w:val="008376AC"/>
    <w:rsid w:val="00843190"/>
    <w:rsid w:val="008444E8"/>
    <w:rsid w:val="00844E80"/>
    <w:rsid w:val="00846FE7"/>
    <w:rsid w:val="00856911"/>
    <w:rsid w:val="008677FD"/>
    <w:rsid w:val="008706D4"/>
    <w:rsid w:val="00870F8A"/>
    <w:rsid w:val="008719A4"/>
    <w:rsid w:val="00871D23"/>
    <w:rsid w:val="00874312"/>
    <w:rsid w:val="0087437C"/>
    <w:rsid w:val="00875CD7"/>
    <w:rsid w:val="00876517"/>
    <w:rsid w:val="00876B4D"/>
    <w:rsid w:val="00877F18"/>
    <w:rsid w:val="00882674"/>
    <w:rsid w:val="00884021"/>
    <w:rsid w:val="00884BB3"/>
    <w:rsid w:val="00887F9A"/>
    <w:rsid w:val="00894A88"/>
    <w:rsid w:val="00895386"/>
    <w:rsid w:val="008963CE"/>
    <w:rsid w:val="00896419"/>
    <w:rsid w:val="008A00B3"/>
    <w:rsid w:val="008A21FF"/>
    <w:rsid w:val="008A2CE2"/>
    <w:rsid w:val="008A30AC"/>
    <w:rsid w:val="008A44B8"/>
    <w:rsid w:val="008A4D2B"/>
    <w:rsid w:val="008A51A8"/>
    <w:rsid w:val="008A54C7"/>
    <w:rsid w:val="008A6324"/>
    <w:rsid w:val="008A77D8"/>
    <w:rsid w:val="008B0483"/>
    <w:rsid w:val="008B120C"/>
    <w:rsid w:val="008B22F6"/>
    <w:rsid w:val="008B43B5"/>
    <w:rsid w:val="008B51A0"/>
    <w:rsid w:val="008B592A"/>
    <w:rsid w:val="008B6058"/>
    <w:rsid w:val="008B7B5C"/>
    <w:rsid w:val="008C0C99"/>
    <w:rsid w:val="008C2017"/>
    <w:rsid w:val="008C44DA"/>
    <w:rsid w:val="008C4958"/>
    <w:rsid w:val="008C4BAA"/>
    <w:rsid w:val="008C6AE8"/>
    <w:rsid w:val="008C7573"/>
    <w:rsid w:val="008D05BC"/>
    <w:rsid w:val="008D34F1"/>
    <w:rsid w:val="008D39D8"/>
    <w:rsid w:val="008D47E3"/>
    <w:rsid w:val="008D6D1A"/>
    <w:rsid w:val="008D74B4"/>
    <w:rsid w:val="008E065E"/>
    <w:rsid w:val="008E0927"/>
    <w:rsid w:val="008E153D"/>
    <w:rsid w:val="008E1909"/>
    <w:rsid w:val="008E1D5E"/>
    <w:rsid w:val="008E6EFC"/>
    <w:rsid w:val="008F1EAB"/>
    <w:rsid w:val="008F33DC"/>
    <w:rsid w:val="008F35FC"/>
    <w:rsid w:val="008F36A6"/>
    <w:rsid w:val="008F477F"/>
    <w:rsid w:val="008F523A"/>
    <w:rsid w:val="00902350"/>
    <w:rsid w:val="0090336B"/>
    <w:rsid w:val="009053AA"/>
    <w:rsid w:val="00906939"/>
    <w:rsid w:val="00910B7D"/>
    <w:rsid w:val="00911DFB"/>
    <w:rsid w:val="00911F36"/>
    <w:rsid w:val="00912D2D"/>
    <w:rsid w:val="0091323E"/>
    <w:rsid w:val="009139D9"/>
    <w:rsid w:val="00914AD8"/>
    <w:rsid w:val="00914C56"/>
    <w:rsid w:val="00915738"/>
    <w:rsid w:val="00916046"/>
    <w:rsid w:val="00916079"/>
    <w:rsid w:val="0091643F"/>
    <w:rsid w:val="0091759B"/>
    <w:rsid w:val="00917CE9"/>
    <w:rsid w:val="00920BF2"/>
    <w:rsid w:val="00921FA6"/>
    <w:rsid w:val="00922010"/>
    <w:rsid w:val="00927915"/>
    <w:rsid w:val="00930C51"/>
    <w:rsid w:val="00931BD9"/>
    <w:rsid w:val="0093523B"/>
    <w:rsid w:val="009368F3"/>
    <w:rsid w:val="00937B5A"/>
    <w:rsid w:val="00941636"/>
    <w:rsid w:val="00943742"/>
    <w:rsid w:val="00945C05"/>
    <w:rsid w:val="00946945"/>
    <w:rsid w:val="00947713"/>
    <w:rsid w:val="00950DE7"/>
    <w:rsid w:val="00951773"/>
    <w:rsid w:val="00953920"/>
    <w:rsid w:val="00953D47"/>
    <w:rsid w:val="00954AD0"/>
    <w:rsid w:val="0095681E"/>
    <w:rsid w:val="009572D4"/>
    <w:rsid w:val="00961921"/>
    <w:rsid w:val="0096430A"/>
    <w:rsid w:val="0096554B"/>
    <w:rsid w:val="0096584A"/>
    <w:rsid w:val="009659BA"/>
    <w:rsid w:val="00966D79"/>
    <w:rsid w:val="009675AA"/>
    <w:rsid w:val="00971E93"/>
    <w:rsid w:val="00971F08"/>
    <w:rsid w:val="00972F2F"/>
    <w:rsid w:val="0097603D"/>
    <w:rsid w:val="00976949"/>
    <w:rsid w:val="00976CCA"/>
    <w:rsid w:val="00980477"/>
    <w:rsid w:val="00980F2B"/>
    <w:rsid w:val="00985253"/>
    <w:rsid w:val="009853B3"/>
    <w:rsid w:val="009860D2"/>
    <w:rsid w:val="00990630"/>
    <w:rsid w:val="00991761"/>
    <w:rsid w:val="009940CF"/>
    <w:rsid w:val="00994DCA"/>
    <w:rsid w:val="009960EC"/>
    <w:rsid w:val="009970DD"/>
    <w:rsid w:val="009A0DA8"/>
    <w:rsid w:val="009A0FBA"/>
    <w:rsid w:val="009A1601"/>
    <w:rsid w:val="009A2BD6"/>
    <w:rsid w:val="009A462D"/>
    <w:rsid w:val="009A5CBA"/>
    <w:rsid w:val="009A7298"/>
    <w:rsid w:val="009A7879"/>
    <w:rsid w:val="009B1F30"/>
    <w:rsid w:val="009B2D0C"/>
    <w:rsid w:val="009B3AC2"/>
    <w:rsid w:val="009B465F"/>
    <w:rsid w:val="009B4DF4"/>
    <w:rsid w:val="009B564E"/>
    <w:rsid w:val="009B57BB"/>
    <w:rsid w:val="009B7C51"/>
    <w:rsid w:val="009B7E87"/>
    <w:rsid w:val="009C403E"/>
    <w:rsid w:val="009C5D9A"/>
    <w:rsid w:val="009D048B"/>
    <w:rsid w:val="009D28AD"/>
    <w:rsid w:val="009D484C"/>
    <w:rsid w:val="009D4FF0"/>
    <w:rsid w:val="009D703C"/>
    <w:rsid w:val="009D718F"/>
    <w:rsid w:val="009E068F"/>
    <w:rsid w:val="009E14E0"/>
    <w:rsid w:val="009E2A13"/>
    <w:rsid w:val="009E35DB"/>
    <w:rsid w:val="009E47A3"/>
    <w:rsid w:val="009E7B23"/>
    <w:rsid w:val="009F08F3"/>
    <w:rsid w:val="009F344F"/>
    <w:rsid w:val="009F36C6"/>
    <w:rsid w:val="009F5696"/>
    <w:rsid w:val="009F7BBB"/>
    <w:rsid w:val="009F7EAD"/>
    <w:rsid w:val="009F7EC6"/>
    <w:rsid w:val="00A048A8"/>
    <w:rsid w:val="00A049D4"/>
    <w:rsid w:val="00A04C24"/>
    <w:rsid w:val="00A04F49"/>
    <w:rsid w:val="00A07A3D"/>
    <w:rsid w:val="00A07DDA"/>
    <w:rsid w:val="00A10D08"/>
    <w:rsid w:val="00A13E54"/>
    <w:rsid w:val="00A14603"/>
    <w:rsid w:val="00A17F63"/>
    <w:rsid w:val="00A20E0C"/>
    <w:rsid w:val="00A2193B"/>
    <w:rsid w:val="00A2351A"/>
    <w:rsid w:val="00A25F47"/>
    <w:rsid w:val="00A264A9"/>
    <w:rsid w:val="00A27785"/>
    <w:rsid w:val="00A30187"/>
    <w:rsid w:val="00A31C10"/>
    <w:rsid w:val="00A3448A"/>
    <w:rsid w:val="00A36297"/>
    <w:rsid w:val="00A37063"/>
    <w:rsid w:val="00A37937"/>
    <w:rsid w:val="00A3793A"/>
    <w:rsid w:val="00A41E2B"/>
    <w:rsid w:val="00A45A9D"/>
    <w:rsid w:val="00A45B74"/>
    <w:rsid w:val="00A47891"/>
    <w:rsid w:val="00A5102A"/>
    <w:rsid w:val="00A51B80"/>
    <w:rsid w:val="00A52E1D"/>
    <w:rsid w:val="00A53CB2"/>
    <w:rsid w:val="00A555D3"/>
    <w:rsid w:val="00A61499"/>
    <w:rsid w:val="00A62318"/>
    <w:rsid w:val="00A62A77"/>
    <w:rsid w:val="00A63483"/>
    <w:rsid w:val="00A64E18"/>
    <w:rsid w:val="00A64F7C"/>
    <w:rsid w:val="00A657D7"/>
    <w:rsid w:val="00A660AC"/>
    <w:rsid w:val="00A67E6C"/>
    <w:rsid w:val="00A7147C"/>
    <w:rsid w:val="00A71B99"/>
    <w:rsid w:val="00A72883"/>
    <w:rsid w:val="00A739D0"/>
    <w:rsid w:val="00A761D4"/>
    <w:rsid w:val="00A7740B"/>
    <w:rsid w:val="00A77EC4"/>
    <w:rsid w:val="00A80760"/>
    <w:rsid w:val="00A826B3"/>
    <w:rsid w:val="00A92879"/>
    <w:rsid w:val="00A937F3"/>
    <w:rsid w:val="00A9442A"/>
    <w:rsid w:val="00AA016F"/>
    <w:rsid w:val="00AA1E89"/>
    <w:rsid w:val="00AA1ED6"/>
    <w:rsid w:val="00AA4091"/>
    <w:rsid w:val="00AA4F83"/>
    <w:rsid w:val="00AA51D6"/>
    <w:rsid w:val="00AA7466"/>
    <w:rsid w:val="00AA7770"/>
    <w:rsid w:val="00AB0BC8"/>
    <w:rsid w:val="00AB11CA"/>
    <w:rsid w:val="00AB14D9"/>
    <w:rsid w:val="00AB4AB8"/>
    <w:rsid w:val="00AB655E"/>
    <w:rsid w:val="00AB7AAD"/>
    <w:rsid w:val="00AC007F"/>
    <w:rsid w:val="00AC2ECD"/>
    <w:rsid w:val="00AC3119"/>
    <w:rsid w:val="00AC414C"/>
    <w:rsid w:val="00AC49FB"/>
    <w:rsid w:val="00AC5A10"/>
    <w:rsid w:val="00AC7D88"/>
    <w:rsid w:val="00AD0AA3"/>
    <w:rsid w:val="00AD10A8"/>
    <w:rsid w:val="00AD1D0F"/>
    <w:rsid w:val="00AD2E78"/>
    <w:rsid w:val="00AD3F94"/>
    <w:rsid w:val="00AD4A5A"/>
    <w:rsid w:val="00AD5947"/>
    <w:rsid w:val="00AE27AC"/>
    <w:rsid w:val="00AE2F7E"/>
    <w:rsid w:val="00AE40E0"/>
    <w:rsid w:val="00AE43A0"/>
    <w:rsid w:val="00AE4DBA"/>
    <w:rsid w:val="00AE4F07"/>
    <w:rsid w:val="00AE7C50"/>
    <w:rsid w:val="00AF1C5D"/>
    <w:rsid w:val="00AF2B46"/>
    <w:rsid w:val="00AF2D03"/>
    <w:rsid w:val="00AF42D7"/>
    <w:rsid w:val="00AF6AB8"/>
    <w:rsid w:val="00AF70B2"/>
    <w:rsid w:val="00B00067"/>
    <w:rsid w:val="00B006FE"/>
    <w:rsid w:val="00B007CB"/>
    <w:rsid w:val="00B02AA9"/>
    <w:rsid w:val="00B02FA3"/>
    <w:rsid w:val="00B03A18"/>
    <w:rsid w:val="00B05084"/>
    <w:rsid w:val="00B06547"/>
    <w:rsid w:val="00B069E1"/>
    <w:rsid w:val="00B06E69"/>
    <w:rsid w:val="00B11E1B"/>
    <w:rsid w:val="00B13138"/>
    <w:rsid w:val="00B157F9"/>
    <w:rsid w:val="00B20256"/>
    <w:rsid w:val="00B20D09"/>
    <w:rsid w:val="00B22452"/>
    <w:rsid w:val="00B225A5"/>
    <w:rsid w:val="00B23120"/>
    <w:rsid w:val="00B2686F"/>
    <w:rsid w:val="00B2763F"/>
    <w:rsid w:val="00B27AAC"/>
    <w:rsid w:val="00B30431"/>
    <w:rsid w:val="00B3057C"/>
    <w:rsid w:val="00B30929"/>
    <w:rsid w:val="00B35CA3"/>
    <w:rsid w:val="00B372AA"/>
    <w:rsid w:val="00B37748"/>
    <w:rsid w:val="00B40445"/>
    <w:rsid w:val="00B41888"/>
    <w:rsid w:val="00B45A52"/>
    <w:rsid w:val="00B46175"/>
    <w:rsid w:val="00B503A6"/>
    <w:rsid w:val="00B5100C"/>
    <w:rsid w:val="00B664C7"/>
    <w:rsid w:val="00B739F6"/>
    <w:rsid w:val="00B7618F"/>
    <w:rsid w:val="00B8088E"/>
    <w:rsid w:val="00B816EA"/>
    <w:rsid w:val="00B81A6C"/>
    <w:rsid w:val="00B81B0D"/>
    <w:rsid w:val="00B83BC0"/>
    <w:rsid w:val="00B85DE5"/>
    <w:rsid w:val="00B860A0"/>
    <w:rsid w:val="00B90301"/>
    <w:rsid w:val="00B9077F"/>
    <w:rsid w:val="00B90F73"/>
    <w:rsid w:val="00B92EA3"/>
    <w:rsid w:val="00B93B59"/>
    <w:rsid w:val="00B9406A"/>
    <w:rsid w:val="00BA045E"/>
    <w:rsid w:val="00BA2280"/>
    <w:rsid w:val="00BA2864"/>
    <w:rsid w:val="00BA2A08"/>
    <w:rsid w:val="00BA56D2"/>
    <w:rsid w:val="00BA76E0"/>
    <w:rsid w:val="00BB19ED"/>
    <w:rsid w:val="00BB246D"/>
    <w:rsid w:val="00BB2A25"/>
    <w:rsid w:val="00BB51E9"/>
    <w:rsid w:val="00BB7AFF"/>
    <w:rsid w:val="00BC0FDC"/>
    <w:rsid w:val="00BC15A2"/>
    <w:rsid w:val="00BC3053"/>
    <w:rsid w:val="00BC4D2E"/>
    <w:rsid w:val="00BD09F7"/>
    <w:rsid w:val="00BD184A"/>
    <w:rsid w:val="00BD48AC"/>
    <w:rsid w:val="00BD5F1A"/>
    <w:rsid w:val="00BD73A3"/>
    <w:rsid w:val="00BE0BB9"/>
    <w:rsid w:val="00BE1234"/>
    <w:rsid w:val="00BE2FA6"/>
    <w:rsid w:val="00BE333F"/>
    <w:rsid w:val="00BE7406"/>
    <w:rsid w:val="00BE7603"/>
    <w:rsid w:val="00BF2E38"/>
    <w:rsid w:val="00BF3279"/>
    <w:rsid w:val="00BF74C7"/>
    <w:rsid w:val="00C015F1"/>
    <w:rsid w:val="00C01F33"/>
    <w:rsid w:val="00C02CC6"/>
    <w:rsid w:val="00C040F7"/>
    <w:rsid w:val="00C044AB"/>
    <w:rsid w:val="00C04DD2"/>
    <w:rsid w:val="00C04F22"/>
    <w:rsid w:val="00C05706"/>
    <w:rsid w:val="00C07377"/>
    <w:rsid w:val="00C079E8"/>
    <w:rsid w:val="00C10478"/>
    <w:rsid w:val="00C10F3D"/>
    <w:rsid w:val="00C12107"/>
    <w:rsid w:val="00C14AEC"/>
    <w:rsid w:val="00C14D4B"/>
    <w:rsid w:val="00C154BB"/>
    <w:rsid w:val="00C17B3E"/>
    <w:rsid w:val="00C20923"/>
    <w:rsid w:val="00C22738"/>
    <w:rsid w:val="00C25B67"/>
    <w:rsid w:val="00C279B5"/>
    <w:rsid w:val="00C27C45"/>
    <w:rsid w:val="00C27DD1"/>
    <w:rsid w:val="00C34CE1"/>
    <w:rsid w:val="00C36612"/>
    <w:rsid w:val="00C36C34"/>
    <w:rsid w:val="00C3719D"/>
    <w:rsid w:val="00C45571"/>
    <w:rsid w:val="00C465CE"/>
    <w:rsid w:val="00C4713E"/>
    <w:rsid w:val="00C54995"/>
    <w:rsid w:val="00C54D41"/>
    <w:rsid w:val="00C55E52"/>
    <w:rsid w:val="00C5754D"/>
    <w:rsid w:val="00C60783"/>
    <w:rsid w:val="00C60D03"/>
    <w:rsid w:val="00C61FD4"/>
    <w:rsid w:val="00C6255D"/>
    <w:rsid w:val="00C63BA2"/>
    <w:rsid w:val="00C64672"/>
    <w:rsid w:val="00C66D2D"/>
    <w:rsid w:val="00C70697"/>
    <w:rsid w:val="00C72EF4"/>
    <w:rsid w:val="00C75D2F"/>
    <w:rsid w:val="00C767BE"/>
    <w:rsid w:val="00C76E3C"/>
    <w:rsid w:val="00C8004C"/>
    <w:rsid w:val="00C81568"/>
    <w:rsid w:val="00C8725C"/>
    <w:rsid w:val="00C8739A"/>
    <w:rsid w:val="00C9027A"/>
    <w:rsid w:val="00C9068E"/>
    <w:rsid w:val="00C93C4B"/>
    <w:rsid w:val="00C944AB"/>
    <w:rsid w:val="00C95B40"/>
    <w:rsid w:val="00CA0740"/>
    <w:rsid w:val="00CA1ED8"/>
    <w:rsid w:val="00CA4AB8"/>
    <w:rsid w:val="00CA59EF"/>
    <w:rsid w:val="00CA5C94"/>
    <w:rsid w:val="00CA64A6"/>
    <w:rsid w:val="00CB1F63"/>
    <w:rsid w:val="00CB5C17"/>
    <w:rsid w:val="00CB7170"/>
    <w:rsid w:val="00CB745E"/>
    <w:rsid w:val="00CC040E"/>
    <w:rsid w:val="00CC0977"/>
    <w:rsid w:val="00CC111F"/>
    <w:rsid w:val="00CC2011"/>
    <w:rsid w:val="00CC3EA0"/>
    <w:rsid w:val="00CC7B45"/>
    <w:rsid w:val="00CD1188"/>
    <w:rsid w:val="00CD2ED1"/>
    <w:rsid w:val="00CD31BF"/>
    <w:rsid w:val="00CD337B"/>
    <w:rsid w:val="00CD6EB6"/>
    <w:rsid w:val="00CD7B07"/>
    <w:rsid w:val="00CE0424"/>
    <w:rsid w:val="00CE6894"/>
    <w:rsid w:val="00CE7561"/>
    <w:rsid w:val="00CF11A7"/>
    <w:rsid w:val="00CF1354"/>
    <w:rsid w:val="00CF3B1F"/>
    <w:rsid w:val="00CF3BF6"/>
    <w:rsid w:val="00CF625B"/>
    <w:rsid w:val="00CF687E"/>
    <w:rsid w:val="00D00AE7"/>
    <w:rsid w:val="00D01957"/>
    <w:rsid w:val="00D0349B"/>
    <w:rsid w:val="00D068D4"/>
    <w:rsid w:val="00D10249"/>
    <w:rsid w:val="00D115C3"/>
    <w:rsid w:val="00D11897"/>
    <w:rsid w:val="00D13135"/>
    <w:rsid w:val="00D13E4E"/>
    <w:rsid w:val="00D140E7"/>
    <w:rsid w:val="00D239A7"/>
    <w:rsid w:val="00D23F47"/>
    <w:rsid w:val="00D25712"/>
    <w:rsid w:val="00D25792"/>
    <w:rsid w:val="00D31491"/>
    <w:rsid w:val="00D32A9B"/>
    <w:rsid w:val="00D36E71"/>
    <w:rsid w:val="00D3710F"/>
    <w:rsid w:val="00D37987"/>
    <w:rsid w:val="00D37D87"/>
    <w:rsid w:val="00D40B33"/>
    <w:rsid w:val="00D4318F"/>
    <w:rsid w:val="00D438BF"/>
    <w:rsid w:val="00D440F8"/>
    <w:rsid w:val="00D44A1E"/>
    <w:rsid w:val="00D45E1E"/>
    <w:rsid w:val="00D546FF"/>
    <w:rsid w:val="00D55AD5"/>
    <w:rsid w:val="00D576CA"/>
    <w:rsid w:val="00D61AF5"/>
    <w:rsid w:val="00D652B5"/>
    <w:rsid w:val="00D66155"/>
    <w:rsid w:val="00D70075"/>
    <w:rsid w:val="00D708B0"/>
    <w:rsid w:val="00D762BB"/>
    <w:rsid w:val="00D77B1D"/>
    <w:rsid w:val="00D8021F"/>
    <w:rsid w:val="00D80383"/>
    <w:rsid w:val="00D80AC8"/>
    <w:rsid w:val="00D823C6"/>
    <w:rsid w:val="00D831F1"/>
    <w:rsid w:val="00D86CA3"/>
    <w:rsid w:val="00D871CE"/>
    <w:rsid w:val="00D87CB9"/>
    <w:rsid w:val="00D9196D"/>
    <w:rsid w:val="00D91BC7"/>
    <w:rsid w:val="00D92982"/>
    <w:rsid w:val="00D95DF5"/>
    <w:rsid w:val="00DA02AF"/>
    <w:rsid w:val="00DA305E"/>
    <w:rsid w:val="00DA5417"/>
    <w:rsid w:val="00DA56E8"/>
    <w:rsid w:val="00DB0A9F"/>
    <w:rsid w:val="00DB2B16"/>
    <w:rsid w:val="00DB377D"/>
    <w:rsid w:val="00DB4FC3"/>
    <w:rsid w:val="00DC1C50"/>
    <w:rsid w:val="00DC2D36"/>
    <w:rsid w:val="00DC431C"/>
    <w:rsid w:val="00DC53EF"/>
    <w:rsid w:val="00DC5477"/>
    <w:rsid w:val="00DC7AAB"/>
    <w:rsid w:val="00DD03DC"/>
    <w:rsid w:val="00DD6051"/>
    <w:rsid w:val="00DD6BE3"/>
    <w:rsid w:val="00DD6CA7"/>
    <w:rsid w:val="00DD766F"/>
    <w:rsid w:val="00DE2AB7"/>
    <w:rsid w:val="00DE5608"/>
    <w:rsid w:val="00DE58D0"/>
    <w:rsid w:val="00DE654F"/>
    <w:rsid w:val="00DF0B6E"/>
    <w:rsid w:val="00DF0F93"/>
    <w:rsid w:val="00DF15E0"/>
    <w:rsid w:val="00DF3642"/>
    <w:rsid w:val="00DF37A0"/>
    <w:rsid w:val="00DF5401"/>
    <w:rsid w:val="00DF58FF"/>
    <w:rsid w:val="00DF7229"/>
    <w:rsid w:val="00E00600"/>
    <w:rsid w:val="00E00660"/>
    <w:rsid w:val="00E00BE1"/>
    <w:rsid w:val="00E07842"/>
    <w:rsid w:val="00E110E7"/>
    <w:rsid w:val="00E11B20"/>
    <w:rsid w:val="00E12BA4"/>
    <w:rsid w:val="00E14C07"/>
    <w:rsid w:val="00E177A7"/>
    <w:rsid w:val="00E17FA2"/>
    <w:rsid w:val="00E22330"/>
    <w:rsid w:val="00E24725"/>
    <w:rsid w:val="00E30B5A"/>
    <w:rsid w:val="00E30EB6"/>
    <w:rsid w:val="00E3123D"/>
    <w:rsid w:val="00E31461"/>
    <w:rsid w:val="00E31D43"/>
    <w:rsid w:val="00E32608"/>
    <w:rsid w:val="00E34188"/>
    <w:rsid w:val="00E34B6E"/>
    <w:rsid w:val="00E35559"/>
    <w:rsid w:val="00E3723A"/>
    <w:rsid w:val="00E37860"/>
    <w:rsid w:val="00E431F1"/>
    <w:rsid w:val="00E446F1"/>
    <w:rsid w:val="00E46886"/>
    <w:rsid w:val="00E47AEF"/>
    <w:rsid w:val="00E52A05"/>
    <w:rsid w:val="00E53B75"/>
    <w:rsid w:val="00E54D45"/>
    <w:rsid w:val="00E54E3B"/>
    <w:rsid w:val="00E57565"/>
    <w:rsid w:val="00E6200A"/>
    <w:rsid w:val="00E63838"/>
    <w:rsid w:val="00E64434"/>
    <w:rsid w:val="00E66C38"/>
    <w:rsid w:val="00E67C51"/>
    <w:rsid w:val="00E7280F"/>
    <w:rsid w:val="00E72EFC"/>
    <w:rsid w:val="00E7489C"/>
    <w:rsid w:val="00E758EC"/>
    <w:rsid w:val="00E76E1C"/>
    <w:rsid w:val="00E8234C"/>
    <w:rsid w:val="00E83AA9"/>
    <w:rsid w:val="00E84ADB"/>
    <w:rsid w:val="00E85928"/>
    <w:rsid w:val="00E87822"/>
    <w:rsid w:val="00E90395"/>
    <w:rsid w:val="00E90E49"/>
    <w:rsid w:val="00E91004"/>
    <w:rsid w:val="00E91005"/>
    <w:rsid w:val="00E917F9"/>
    <w:rsid w:val="00E9291C"/>
    <w:rsid w:val="00E93FFE"/>
    <w:rsid w:val="00E94A0E"/>
    <w:rsid w:val="00E94F8A"/>
    <w:rsid w:val="00E951EC"/>
    <w:rsid w:val="00E95F33"/>
    <w:rsid w:val="00E9752B"/>
    <w:rsid w:val="00EA0AE8"/>
    <w:rsid w:val="00EA225B"/>
    <w:rsid w:val="00EA3CF0"/>
    <w:rsid w:val="00EA7A41"/>
    <w:rsid w:val="00EB031C"/>
    <w:rsid w:val="00EB077B"/>
    <w:rsid w:val="00EB24D9"/>
    <w:rsid w:val="00EB287A"/>
    <w:rsid w:val="00EB2889"/>
    <w:rsid w:val="00EB4EA2"/>
    <w:rsid w:val="00EC1E6C"/>
    <w:rsid w:val="00EC27C6"/>
    <w:rsid w:val="00EC4207"/>
    <w:rsid w:val="00EC5653"/>
    <w:rsid w:val="00EC5BF9"/>
    <w:rsid w:val="00EC71CE"/>
    <w:rsid w:val="00ED1006"/>
    <w:rsid w:val="00ED2AAD"/>
    <w:rsid w:val="00ED4733"/>
    <w:rsid w:val="00EF18FE"/>
    <w:rsid w:val="00EF268B"/>
    <w:rsid w:val="00EF3C81"/>
    <w:rsid w:val="00EF4221"/>
    <w:rsid w:val="00EF4C30"/>
    <w:rsid w:val="00EF5787"/>
    <w:rsid w:val="00EF60D0"/>
    <w:rsid w:val="00F0528D"/>
    <w:rsid w:val="00F06C67"/>
    <w:rsid w:val="00F06DFD"/>
    <w:rsid w:val="00F071D1"/>
    <w:rsid w:val="00F07533"/>
    <w:rsid w:val="00F10595"/>
    <w:rsid w:val="00F10629"/>
    <w:rsid w:val="00F1236C"/>
    <w:rsid w:val="00F15FA5"/>
    <w:rsid w:val="00F16310"/>
    <w:rsid w:val="00F16FE2"/>
    <w:rsid w:val="00F209B7"/>
    <w:rsid w:val="00F2376F"/>
    <w:rsid w:val="00F243D8"/>
    <w:rsid w:val="00F25DC6"/>
    <w:rsid w:val="00F30828"/>
    <w:rsid w:val="00F313D6"/>
    <w:rsid w:val="00F36E17"/>
    <w:rsid w:val="00F40F0C"/>
    <w:rsid w:val="00F42239"/>
    <w:rsid w:val="00F45221"/>
    <w:rsid w:val="00F4766C"/>
    <w:rsid w:val="00F50548"/>
    <w:rsid w:val="00F507D1"/>
    <w:rsid w:val="00F519CE"/>
    <w:rsid w:val="00F51ADA"/>
    <w:rsid w:val="00F522EF"/>
    <w:rsid w:val="00F56091"/>
    <w:rsid w:val="00F607C5"/>
    <w:rsid w:val="00F60DEA"/>
    <w:rsid w:val="00F6302A"/>
    <w:rsid w:val="00F639E4"/>
    <w:rsid w:val="00F64C2B"/>
    <w:rsid w:val="00F651BE"/>
    <w:rsid w:val="00F67F53"/>
    <w:rsid w:val="00F703BE"/>
    <w:rsid w:val="00F71316"/>
    <w:rsid w:val="00F71F69"/>
    <w:rsid w:val="00F72B72"/>
    <w:rsid w:val="00F7418E"/>
    <w:rsid w:val="00F74BB9"/>
    <w:rsid w:val="00F75582"/>
    <w:rsid w:val="00F76EFA"/>
    <w:rsid w:val="00F8033E"/>
    <w:rsid w:val="00F804BE"/>
    <w:rsid w:val="00F817CE"/>
    <w:rsid w:val="00F81AF6"/>
    <w:rsid w:val="00F82812"/>
    <w:rsid w:val="00F83EFE"/>
    <w:rsid w:val="00F8456C"/>
    <w:rsid w:val="00F848DD"/>
    <w:rsid w:val="00F859D8"/>
    <w:rsid w:val="00F85A8D"/>
    <w:rsid w:val="00F85CDA"/>
    <w:rsid w:val="00F868F5"/>
    <w:rsid w:val="00F87AB5"/>
    <w:rsid w:val="00F9056A"/>
    <w:rsid w:val="00F90A97"/>
    <w:rsid w:val="00F90AC0"/>
    <w:rsid w:val="00F90F8D"/>
    <w:rsid w:val="00F92782"/>
    <w:rsid w:val="00F93A82"/>
    <w:rsid w:val="00F93AA9"/>
    <w:rsid w:val="00F96985"/>
    <w:rsid w:val="00F969C0"/>
    <w:rsid w:val="00F974D0"/>
    <w:rsid w:val="00F97838"/>
    <w:rsid w:val="00FA0C89"/>
    <w:rsid w:val="00FA2BB3"/>
    <w:rsid w:val="00FB0C15"/>
    <w:rsid w:val="00FB17EE"/>
    <w:rsid w:val="00FB1944"/>
    <w:rsid w:val="00FB2039"/>
    <w:rsid w:val="00FB216B"/>
    <w:rsid w:val="00FB368B"/>
    <w:rsid w:val="00FB3B05"/>
    <w:rsid w:val="00FB3F9E"/>
    <w:rsid w:val="00FB4C80"/>
    <w:rsid w:val="00FB64DC"/>
    <w:rsid w:val="00FB6A6A"/>
    <w:rsid w:val="00FB7F1D"/>
    <w:rsid w:val="00FC4236"/>
    <w:rsid w:val="00FC4E33"/>
    <w:rsid w:val="00FC5706"/>
    <w:rsid w:val="00FC7429"/>
    <w:rsid w:val="00FD07F6"/>
    <w:rsid w:val="00FD0EE5"/>
    <w:rsid w:val="00FD1EC8"/>
    <w:rsid w:val="00FD2354"/>
    <w:rsid w:val="00FD47ED"/>
    <w:rsid w:val="00FD4AEC"/>
    <w:rsid w:val="00FD577E"/>
    <w:rsid w:val="00FD74DB"/>
    <w:rsid w:val="00FD7660"/>
    <w:rsid w:val="00FE0655"/>
    <w:rsid w:val="00FE1D6D"/>
    <w:rsid w:val="00FE2365"/>
    <w:rsid w:val="00FE2ABC"/>
    <w:rsid w:val="00FE2CC1"/>
    <w:rsid w:val="00FE4C7B"/>
    <w:rsid w:val="00FE7336"/>
    <w:rsid w:val="00FE787C"/>
    <w:rsid w:val="00FF1E79"/>
    <w:rsid w:val="00FF44FC"/>
    <w:rsid w:val="00FF45A5"/>
    <w:rsid w:val="00FF5C91"/>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D224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193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24"/>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Revision">
    <w:name w:val="Revision"/>
    <w:hidden/>
    <w:uiPriority w:val="99"/>
    <w:semiHidden/>
    <w:rsid w:val="00912D2D"/>
    <w:rPr>
      <w:rFonts w:ascii="Arial" w:hAnsi="Arial"/>
      <w:lang w:val="en-GB" w:eastAsia="zh-CN"/>
    </w:rPr>
  </w:style>
  <w:style w:type="character" w:customStyle="1" w:styleId="CommentTextChar">
    <w:name w:val="Comment Text Char"/>
    <w:link w:val="CommentText"/>
    <w:semiHidden/>
    <w:rsid w:val="00D87CB9"/>
    <w:rPr>
      <w:rFonts w:ascii="Arial" w:hAnsi="Arial"/>
      <w:lang w:val="en-GB" w:eastAsia="zh-CN"/>
    </w:rPr>
  </w:style>
  <w:style w:type="table" w:styleId="TableGrid">
    <w:name w:val="Table Grid"/>
    <w:basedOn w:val="TableNormal"/>
    <w:rsid w:val="00193A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CA07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hAnsi="Courier New" w:cs="Courier New"/>
      <w:lang w:val="sv-SE" w:eastAsia="sv-SE"/>
    </w:rPr>
  </w:style>
  <w:style w:type="character" w:customStyle="1" w:styleId="HTMLPreformattedChar">
    <w:name w:val="HTML Preformatted Char"/>
    <w:basedOn w:val="DefaultParagraphFont"/>
    <w:link w:val="HTMLPreformatted"/>
    <w:uiPriority w:val="99"/>
    <w:semiHidden/>
    <w:rsid w:val="00CA0740"/>
    <w:rPr>
      <w:rFonts w:ascii="Courier New" w:hAnsi="Courier New" w:cs="Courier New"/>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584781">
      <w:bodyDiv w:val="1"/>
      <w:marLeft w:val="0"/>
      <w:marRight w:val="0"/>
      <w:marTop w:val="0"/>
      <w:marBottom w:val="0"/>
      <w:divBdr>
        <w:top w:val="none" w:sz="0" w:space="0" w:color="auto"/>
        <w:left w:val="none" w:sz="0" w:space="0" w:color="auto"/>
        <w:bottom w:val="none" w:sz="0" w:space="0" w:color="auto"/>
        <w:right w:val="none" w:sz="0" w:space="0" w:color="auto"/>
      </w:divBdr>
    </w:div>
    <w:div w:id="263616917">
      <w:bodyDiv w:val="1"/>
      <w:marLeft w:val="0"/>
      <w:marRight w:val="0"/>
      <w:marTop w:val="0"/>
      <w:marBottom w:val="0"/>
      <w:divBdr>
        <w:top w:val="none" w:sz="0" w:space="0" w:color="auto"/>
        <w:left w:val="none" w:sz="0" w:space="0" w:color="auto"/>
        <w:bottom w:val="none" w:sz="0" w:space="0" w:color="auto"/>
        <w:right w:val="none" w:sz="0" w:space="0" w:color="auto"/>
      </w:divBdr>
    </w:div>
    <w:div w:id="288707098">
      <w:bodyDiv w:val="1"/>
      <w:marLeft w:val="0"/>
      <w:marRight w:val="0"/>
      <w:marTop w:val="0"/>
      <w:marBottom w:val="0"/>
      <w:divBdr>
        <w:top w:val="none" w:sz="0" w:space="0" w:color="auto"/>
        <w:left w:val="none" w:sz="0" w:space="0" w:color="auto"/>
        <w:bottom w:val="none" w:sz="0" w:space="0" w:color="auto"/>
        <w:right w:val="none" w:sz="0" w:space="0" w:color="auto"/>
      </w:divBdr>
    </w:div>
    <w:div w:id="384258118">
      <w:bodyDiv w:val="1"/>
      <w:marLeft w:val="0"/>
      <w:marRight w:val="0"/>
      <w:marTop w:val="0"/>
      <w:marBottom w:val="0"/>
      <w:divBdr>
        <w:top w:val="none" w:sz="0" w:space="0" w:color="auto"/>
        <w:left w:val="none" w:sz="0" w:space="0" w:color="auto"/>
        <w:bottom w:val="none" w:sz="0" w:space="0" w:color="auto"/>
        <w:right w:val="none" w:sz="0" w:space="0" w:color="auto"/>
      </w:divBdr>
    </w:div>
    <w:div w:id="408767419">
      <w:bodyDiv w:val="1"/>
      <w:marLeft w:val="0"/>
      <w:marRight w:val="0"/>
      <w:marTop w:val="0"/>
      <w:marBottom w:val="0"/>
      <w:divBdr>
        <w:top w:val="none" w:sz="0" w:space="0" w:color="auto"/>
        <w:left w:val="none" w:sz="0" w:space="0" w:color="auto"/>
        <w:bottom w:val="none" w:sz="0" w:space="0" w:color="auto"/>
        <w:right w:val="none" w:sz="0" w:space="0" w:color="auto"/>
      </w:divBdr>
    </w:div>
    <w:div w:id="468978116">
      <w:bodyDiv w:val="1"/>
      <w:marLeft w:val="0"/>
      <w:marRight w:val="0"/>
      <w:marTop w:val="0"/>
      <w:marBottom w:val="0"/>
      <w:divBdr>
        <w:top w:val="none" w:sz="0" w:space="0" w:color="auto"/>
        <w:left w:val="none" w:sz="0" w:space="0" w:color="auto"/>
        <w:bottom w:val="none" w:sz="0" w:space="0" w:color="auto"/>
        <w:right w:val="none" w:sz="0" w:space="0" w:color="auto"/>
      </w:divBdr>
    </w:div>
    <w:div w:id="512575213">
      <w:bodyDiv w:val="1"/>
      <w:marLeft w:val="0"/>
      <w:marRight w:val="0"/>
      <w:marTop w:val="0"/>
      <w:marBottom w:val="0"/>
      <w:divBdr>
        <w:top w:val="none" w:sz="0" w:space="0" w:color="auto"/>
        <w:left w:val="none" w:sz="0" w:space="0" w:color="auto"/>
        <w:bottom w:val="none" w:sz="0" w:space="0" w:color="auto"/>
        <w:right w:val="none" w:sz="0" w:space="0" w:color="auto"/>
      </w:divBdr>
    </w:div>
    <w:div w:id="586115418">
      <w:bodyDiv w:val="1"/>
      <w:marLeft w:val="0"/>
      <w:marRight w:val="0"/>
      <w:marTop w:val="0"/>
      <w:marBottom w:val="0"/>
      <w:divBdr>
        <w:top w:val="none" w:sz="0" w:space="0" w:color="auto"/>
        <w:left w:val="none" w:sz="0" w:space="0" w:color="auto"/>
        <w:bottom w:val="none" w:sz="0" w:space="0" w:color="auto"/>
        <w:right w:val="none" w:sz="0" w:space="0" w:color="auto"/>
      </w:divBdr>
    </w:div>
    <w:div w:id="610429746">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636497615">
      <w:bodyDiv w:val="1"/>
      <w:marLeft w:val="0"/>
      <w:marRight w:val="0"/>
      <w:marTop w:val="0"/>
      <w:marBottom w:val="0"/>
      <w:divBdr>
        <w:top w:val="none" w:sz="0" w:space="0" w:color="auto"/>
        <w:left w:val="none" w:sz="0" w:space="0" w:color="auto"/>
        <w:bottom w:val="none" w:sz="0" w:space="0" w:color="auto"/>
        <w:right w:val="none" w:sz="0" w:space="0" w:color="auto"/>
      </w:divBdr>
    </w:div>
    <w:div w:id="696811068">
      <w:bodyDiv w:val="1"/>
      <w:marLeft w:val="0"/>
      <w:marRight w:val="0"/>
      <w:marTop w:val="0"/>
      <w:marBottom w:val="0"/>
      <w:divBdr>
        <w:top w:val="none" w:sz="0" w:space="0" w:color="auto"/>
        <w:left w:val="none" w:sz="0" w:space="0" w:color="auto"/>
        <w:bottom w:val="none" w:sz="0" w:space="0" w:color="auto"/>
        <w:right w:val="none" w:sz="0" w:space="0" w:color="auto"/>
      </w:divBdr>
    </w:div>
    <w:div w:id="717247824">
      <w:bodyDiv w:val="1"/>
      <w:marLeft w:val="0"/>
      <w:marRight w:val="0"/>
      <w:marTop w:val="0"/>
      <w:marBottom w:val="0"/>
      <w:divBdr>
        <w:top w:val="none" w:sz="0" w:space="0" w:color="auto"/>
        <w:left w:val="none" w:sz="0" w:space="0" w:color="auto"/>
        <w:bottom w:val="none" w:sz="0" w:space="0" w:color="auto"/>
        <w:right w:val="none" w:sz="0" w:space="0" w:color="auto"/>
      </w:divBdr>
    </w:div>
    <w:div w:id="740492198">
      <w:bodyDiv w:val="1"/>
      <w:marLeft w:val="0"/>
      <w:marRight w:val="0"/>
      <w:marTop w:val="0"/>
      <w:marBottom w:val="0"/>
      <w:divBdr>
        <w:top w:val="none" w:sz="0" w:space="0" w:color="auto"/>
        <w:left w:val="none" w:sz="0" w:space="0" w:color="auto"/>
        <w:bottom w:val="none" w:sz="0" w:space="0" w:color="auto"/>
        <w:right w:val="none" w:sz="0" w:space="0" w:color="auto"/>
      </w:divBdr>
    </w:div>
    <w:div w:id="746146237">
      <w:bodyDiv w:val="1"/>
      <w:marLeft w:val="0"/>
      <w:marRight w:val="0"/>
      <w:marTop w:val="0"/>
      <w:marBottom w:val="0"/>
      <w:divBdr>
        <w:top w:val="none" w:sz="0" w:space="0" w:color="auto"/>
        <w:left w:val="none" w:sz="0" w:space="0" w:color="auto"/>
        <w:bottom w:val="none" w:sz="0" w:space="0" w:color="auto"/>
        <w:right w:val="none" w:sz="0" w:space="0" w:color="auto"/>
      </w:divBdr>
    </w:div>
    <w:div w:id="766852498">
      <w:bodyDiv w:val="1"/>
      <w:marLeft w:val="0"/>
      <w:marRight w:val="0"/>
      <w:marTop w:val="0"/>
      <w:marBottom w:val="0"/>
      <w:divBdr>
        <w:top w:val="none" w:sz="0" w:space="0" w:color="auto"/>
        <w:left w:val="none" w:sz="0" w:space="0" w:color="auto"/>
        <w:bottom w:val="none" w:sz="0" w:space="0" w:color="auto"/>
        <w:right w:val="none" w:sz="0" w:space="0" w:color="auto"/>
      </w:divBdr>
      <w:divsChild>
        <w:div w:id="1386948424">
          <w:marLeft w:val="1411"/>
          <w:marRight w:val="0"/>
          <w:marTop w:val="67"/>
          <w:marBottom w:val="0"/>
          <w:divBdr>
            <w:top w:val="none" w:sz="0" w:space="0" w:color="auto"/>
            <w:left w:val="none" w:sz="0" w:space="0" w:color="auto"/>
            <w:bottom w:val="none" w:sz="0" w:space="0" w:color="auto"/>
            <w:right w:val="none" w:sz="0" w:space="0" w:color="auto"/>
          </w:divBdr>
        </w:div>
        <w:div w:id="633828021">
          <w:marLeft w:val="1411"/>
          <w:marRight w:val="0"/>
          <w:marTop w:val="67"/>
          <w:marBottom w:val="0"/>
          <w:divBdr>
            <w:top w:val="none" w:sz="0" w:space="0" w:color="auto"/>
            <w:left w:val="none" w:sz="0" w:space="0" w:color="auto"/>
            <w:bottom w:val="none" w:sz="0" w:space="0" w:color="auto"/>
            <w:right w:val="none" w:sz="0" w:space="0" w:color="auto"/>
          </w:divBdr>
        </w:div>
        <w:div w:id="1155301374">
          <w:marLeft w:val="1411"/>
          <w:marRight w:val="0"/>
          <w:marTop w:val="67"/>
          <w:marBottom w:val="0"/>
          <w:divBdr>
            <w:top w:val="none" w:sz="0" w:space="0" w:color="auto"/>
            <w:left w:val="none" w:sz="0" w:space="0" w:color="auto"/>
            <w:bottom w:val="none" w:sz="0" w:space="0" w:color="auto"/>
            <w:right w:val="none" w:sz="0" w:space="0" w:color="auto"/>
          </w:divBdr>
        </w:div>
        <w:div w:id="1950307690">
          <w:marLeft w:val="1411"/>
          <w:marRight w:val="0"/>
          <w:marTop w:val="67"/>
          <w:marBottom w:val="0"/>
          <w:divBdr>
            <w:top w:val="none" w:sz="0" w:space="0" w:color="auto"/>
            <w:left w:val="none" w:sz="0" w:space="0" w:color="auto"/>
            <w:bottom w:val="none" w:sz="0" w:space="0" w:color="auto"/>
            <w:right w:val="none" w:sz="0" w:space="0" w:color="auto"/>
          </w:divBdr>
        </w:div>
        <w:div w:id="1427462431">
          <w:marLeft w:val="1411"/>
          <w:marRight w:val="0"/>
          <w:marTop w:val="67"/>
          <w:marBottom w:val="0"/>
          <w:divBdr>
            <w:top w:val="none" w:sz="0" w:space="0" w:color="auto"/>
            <w:left w:val="none" w:sz="0" w:space="0" w:color="auto"/>
            <w:bottom w:val="none" w:sz="0" w:space="0" w:color="auto"/>
            <w:right w:val="none" w:sz="0" w:space="0" w:color="auto"/>
          </w:divBdr>
        </w:div>
      </w:divsChild>
    </w:div>
    <w:div w:id="900287567">
      <w:bodyDiv w:val="1"/>
      <w:marLeft w:val="0"/>
      <w:marRight w:val="0"/>
      <w:marTop w:val="0"/>
      <w:marBottom w:val="0"/>
      <w:divBdr>
        <w:top w:val="none" w:sz="0" w:space="0" w:color="auto"/>
        <w:left w:val="none" w:sz="0" w:space="0" w:color="auto"/>
        <w:bottom w:val="none" w:sz="0" w:space="0" w:color="auto"/>
        <w:right w:val="none" w:sz="0" w:space="0" w:color="auto"/>
      </w:divBdr>
    </w:div>
    <w:div w:id="1056709488">
      <w:bodyDiv w:val="1"/>
      <w:marLeft w:val="0"/>
      <w:marRight w:val="0"/>
      <w:marTop w:val="0"/>
      <w:marBottom w:val="0"/>
      <w:divBdr>
        <w:top w:val="none" w:sz="0" w:space="0" w:color="auto"/>
        <w:left w:val="none" w:sz="0" w:space="0" w:color="auto"/>
        <w:bottom w:val="none" w:sz="0" w:space="0" w:color="auto"/>
        <w:right w:val="none" w:sz="0" w:space="0" w:color="auto"/>
      </w:divBdr>
    </w:div>
    <w:div w:id="1087196367">
      <w:bodyDiv w:val="1"/>
      <w:marLeft w:val="0"/>
      <w:marRight w:val="0"/>
      <w:marTop w:val="0"/>
      <w:marBottom w:val="0"/>
      <w:divBdr>
        <w:top w:val="none" w:sz="0" w:space="0" w:color="auto"/>
        <w:left w:val="none" w:sz="0" w:space="0" w:color="auto"/>
        <w:bottom w:val="none" w:sz="0" w:space="0" w:color="auto"/>
        <w:right w:val="none" w:sz="0" w:space="0" w:color="auto"/>
      </w:divBdr>
    </w:div>
    <w:div w:id="1091052208">
      <w:bodyDiv w:val="1"/>
      <w:marLeft w:val="0"/>
      <w:marRight w:val="0"/>
      <w:marTop w:val="0"/>
      <w:marBottom w:val="0"/>
      <w:divBdr>
        <w:top w:val="none" w:sz="0" w:space="0" w:color="auto"/>
        <w:left w:val="none" w:sz="0" w:space="0" w:color="auto"/>
        <w:bottom w:val="none" w:sz="0" w:space="0" w:color="auto"/>
        <w:right w:val="none" w:sz="0" w:space="0" w:color="auto"/>
      </w:divBdr>
    </w:div>
    <w:div w:id="1102383113">
      <w:bodyDiv w:val="1"/>
      <w:marLeft w:val="0"/>
      <w:marRight w:val="0"/>
      <w:marTop w:val="0"/>
      <w:marBottom w:val="0"/>
      <w:divBdr>
        <w:top w:val="none" w:sz="0" w:space="0" w:color="auto"/>
        <w:left w:val="none" w:sz="0" w:space="0" w:color="auto"/>
        <w:bottom w:val="none" w:sz="0" w:space="0" w:color="auto"/>
        <w:right w:val="none" w:sz="0" w:space="0" w:color="auto"/>
      </w:divBdr>
    </w:div>
    <w:div w:id="1140266897">
      <w:bodyDiv w:val="1"/>
      <w:marLeft w:val="0"/>
      <w:marRight w:val="0"/>
      <w:marTop w:val="0"/>
      <w:marBottom w:val="0"/>
      <w:divBdr>
        <w:top w:val="none" w:sz="0" w:space="0" w:color="auto"/>
        <w:left w:val="none" w:sz="0" w:space="0" w:color="auto"/>
        <w:bottom w:val="none" w:sz="0" w:space="0" w:color="auto"/>
        <w:right w:val="none" w:sz="0" w:space="0" w:color="auto"/>
      </w:divBdr>
    </w:div>
    <w:div w:id="1225487115">
      <w:bodyDiv w:val="1"/>
      <w:marLeft w:val="0"/>
      <w:marRight w:val="0"/>
      <w:marTop w:val="0"/>
      <w:marBottom w:val="0"/>
      <w:divBdr>
        <w:top w:val="none" w:sz="0" w:space="0" w:color="auto"/>
        <w:left w:val="none" w:sz="0" w:space="0" w:color="auto"/>
        <w:bottom w:val="none" w:sz="0" w:space="0" w:color="auto"/>
        <w:right w:val="none" w:sz="0" w:space="0" w:color="auto"/>
      </w:divBdr>
    </w:div>
    <w:div w:id="1352030245">
      <w:bodyDiv w:val="1"/>
      <w:marLeft w:val="0"/>
      <w:marRight w:val="0"/>
      <w:marTop w:val="0"/>
      <w:marBottom w:val="0"/>
      <w:divBdr>
        <w:top w:val="none" w:sz="0" w:space="0" w:color="auto"/>
        <w:left w:val="none" w:sz="0" w:space="0" w:color="auto"/>
        <w:bottom w:val="none" w:sz="0" w:space="0" w:color="auto"/>
        <w:right w:val="none" w:sz="0" w:space="0" w:color="auto"/>
      </w:divBdr>
    </w:div>
    <w:div w:id="1374429157">
      <w:bodyDiv w:val="1"/>
      <w:marLeft w:val="0"/>
      <w:marRight w:val="0"/>
      <w:marTop w:val="0"/>
      <w:marBottom w:val="0"/>
      <w:divBdr>
        <w:top w:val="none" w:sz="0" w:space="0" w:color="auto"/>
        <w:left w:val="none" w:sz="0" w:space="0" w:color="auto"/>
        <w:bottom w:val="none" w:sz="0" w:space="0" w:color="auto"/>
        <w:right w:val="none" w:sz="0" w:space="0" w:color="auto"/>
      </w:divBdr>
    </w:div>
    <w:div w:id="1514033058">
      <w:bodyDiv w:val="1"/>
      <w:marLeft w:val="0"/>
      <w:marRight w:val="0"/>
      <w:marTop w:val="0"/>
      <w:marBottom w:val="0"/>
      <w:divBdr>
        <w:top w:val="none" w:sz="0" w:space="0" w:color="auto"/>
        <w:left w:val="none" w:sz="0" w:space="0" w:color="auto"/>
        <w:bottom w:val="none" w:sz="0" w:space="0" w:color="auto"/>
        <w:right w:val="none" w:sz="0" w:space="0" w:color="auto"/>
      </w:divBdr>
    </w:div>
    <w:div w:id="1527644624">
      <w:bodyDiv w:val="1"/>
      <w:marLeft w:val="0"/>
      <w:marRight w:val="0"/>
      <w:marTop w:val="0"/>
      <w:marBottom w:val="0"/>
      <w:divBdr>
        <w:top w:val="none" w:sz="0" w:space="0" w:color="auto"/>
        <w:left w:val="none" w:sz="0" w:space="0" w:color="auto"/>
        <w:bottom w:val="none" w:sz="0" w:space="0" w:color="auto"/>
        <w:right w:val="none" w:sz="0" w:space="0" w:color="auto"/>
      </w:divBdr>
    </w:div>
    <w:div w:id="1816213600">
      <w:bodyDiv w:val="1"/>
      <w:marLeft w:val="0"/>
      <w:marRight w:val="0"/>
      <w:marTop w:val="0"/>
      <w:marBottom w:val="0"/>
      <w:divBdr>
        <w:top w:val="none" w:sz="0" w:space="0" w:color="auto"/>
        <w:left w:val="none" w:sz="0" w:space="0" w:color="auto"/>
        <w:bottom w:val="none" w:sz="0" w:space="0" w:color="auto"/>
        <w:right w:val="none" w:sz="0" w:space="0" w:color="auto"/>
      </w:divBdr>
    </w:div>
    <w:div w:id="2010520504">
      <w:bodyDiv w:val="1"/>
      <w:marLeft w:val="0"/>
      <w:marRight w:val="0"/>
      <w:marTop w:val="0"/>
      <w:marBottom w:val="0"/>
      <w:divBdr>
        <w:top w:val="none" w:sz="0" w:space="0" w:color="auto"/>
        <w:left w:val="none" w:sz="0" w:space="0" w:color="auto"/>
        <w:bottom w:val="none" w:sz="0" w:space="0" w:color="auto"/>
        <w:right w:val="none" w:sz="0" w:space="0" w:color="auto"/>
      </w:divBdr>
    </w:div>
    <w:div w:id="2070417610">
      <w:bodyDiv w:val="1"/>
      <w:marLeft w:val="0"/>
      <w:marRight w:val="0"/>
      <w:marTop w:val="0"/>
      <w:marBottom w:val="0"/>
      <w:divBdr>
        <w:top w:val="none" w:sz="0" w:space="0" w:color="auto"/>
        <w:left w:val="none" w:sz="0" w:space="0" w:color="auto"/>
        <w:bottom w:val="none" w:sz="0" w:space="0" w:color="auto"/>
        <w:right w:val="none" w:sz="0" w:space="0" w:color="auto"/>
      </w:divBdr>
    </w:div>
    <w:div w:id="2117092044">
      <w:bodyDiv w:val="1"/>
      <w:marLeft w:val="0"/>
      <w:marRight w:val="0"/>
      <w:marTop w:val="0"/>
      <w:marBottom w:val="0"/>
      <w:divBdr>
        <w:top w:val="none" w:sz="0" w:space="0" w:color="auto"/>
        <w:left w:val="none" w:sz="0" w:space="0" w:color="auto"/>
        <w:bottom w:val="none" w:sz="0" w:space="0" w:color="auto"/>
        <w:right w:val="none" w:sz="0" w:space="0" w:color="auto"/>
      </w:divBdr>
    </w:div>
    <w:div w:id="2123842754">
      <w:bodyDiv w:val="1"/>
      <w:marLeft w:val="0"/>
      <w:marRight w:val="0"/>
      <w:marTop w:val="0"/>
      <w:marBottom w:val="0"/>
      <w:divBdr>
        <w:top w:val="none" w:sz="0" w:space="0" w:color="auto"/>
        <w:left w:val="none" w:sz="0" w:space="0" w:color="auto"/>
        <w:bottom w:val="none" w:sz="0" w:space="0" w:color="auto"/>
        <w:right w:val="none" w:sz="0" w:space="0" w:color="auto"/>
      </w:divBdr>
    </w:div>
    <w:div w:id="2147232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Excel_Worksheet2.xlsx"/><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Excel_Worksheet1.xlsx"/><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91E011-7413-47B5-99A8-3A3C45FE33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0</TotalTime>
  <Pages>3</Pages>
  <Words>915</Words>
  <Characters>5218</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Daniel Larsson</cp:lastModifiedBy>
  <cp:revision>2</cp:revision>
  <cp:lastPrinted>2008-01-31T07:09:00Z</cp:lastPrinted>
  <dcterms:created xsi:type="dcterms:W3CDTF">2016-04-01T15:24:00Z</dcterms:created>
  <dcterms:modified xsi:type="dcterms:W3CDTF">2016-04-01T15:24:00Z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2016-02-04T23:00:00Z</vt:filetime>
  </property>
</Properties>
</file>